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0C71CB" w14:textId="02167A39" w:rsidR="004E3F05" w:rsidRDefault="00135951">
      <w:pPr>
        <w:pStyle w:val="Header"/>
        <w:tabs>
          <w:tab w:val="right" w:pos="9639"/>
        </w:tabs>
        <w:rPr>
          <w:bCs/>
          <w:i/>
          <w:sz w:val="24"/>
          <w:szCs w:val="24"/>
        </w:rPr>
      </w:pPr>
      <w:r>
        <w:rPr>
          <w:bCs/>
          <w:sz w:val="24"/>
          <w:szCs w:val="24"/>
        </w:rPr>
        <w:t>3GPP TSG-RAN WG2 Meeting #107</w:t>
      </w:r>
      <w:r w:rsidR="007121E7">
        <w:rPr>
          <w:bCs/>
          <w:sz w:val="24"/>
          <w:szCs w:val="24"/>
        </w:rPr>
        <w:t>bis</w:t>
      </w:r>
      <w:r>
        <w:rPr>
          <w:bCs/>
          <w:sz w:val="24"/>
          <w:szCs w:val="24"/>
        </w:rPr>
        <w:tab/>
      </w:r>
      <w:r w:rsidR="00E1450E" w:rsidRPr="00E1450E">
        <w:rPr>
          <w:bCs/>
          <w:sz w:val="24"/>
          <w:szCs w:val="24"/>
        </w:rPr>
        <w:t>R2-1913453</w:t>
      </w:r>
    </w:p>
    <w:p w14:paraId="18762B1A" w14:textId="6A23A310" w:rsidR="004E3F05" w:rsidRDefault="007121E7">
      <w:pPr>
        <w:pStyle w:val="Header"/>
        <w:tabs>
          <w:tab w:val="right" w:pos="9639"/>
        </w:tabs>
        <w:rPr>
          <w:rFonts w:eastAsia="SimSun"/>
          <w:bCs/>
          <w:sz w:val="24"/>
          <w:szCs w:val="24"/>
          <w:lang w:eastAsia="zh-CN"/>
        </w:rPr>
      </w:pPr>
      <w:r>
        <w:rPr>
          <w:rFonts w:eastAsia="SimSun"/>
          <w:bCs/>
          <w:sz w:val="24"/>
          <w:szCs w:val="24"/>
          <w:lang w:eastAsia="zh-CN"/>
        </w:rPr>
        <w:t>Chongqing</w:t>
      </w:r>
      <w:r w:rsidR="00135951">
        <w:rPr>
          <w:rFonts w:eastAsia="SimSun"/>
          <w:bCs/>
          <w:sz w:val="24"/>
          <w:szCs w:val="24"/>
          <w:lang w:eastAsia="zh-CN"/>
        </w:rPr>
        <w:t xml:space="preserve">, </w:t>
      </w:r>
      <w:r>
        <w:rPr>
          <w:rFonts w:eastAsia="SimSun"/>
          <w:bCs/>
          <w:sz w:val="24"/>
          <w:szCs w:val="24"/>
          <w:lang w:eastAsia="zh-CN"/>
        </w:rPr>
        <w:t>China</w:t>
      </w:r>
      <w:r w:rsidR="00135951">
        <w:rPr>
          <w:rFonts w:eastAsia="SimSun"/>
          <w:bCs/>
          <w:sz w:val="24"/>
          <w:szCs w:val="24"/>
          <w:lang w:eastAsia="zh-CN"/>
        </w:rPr>
        <w:t xml:space="preserve">, </w:t>
      </w:r>
      <w:r>
        <w:rPr>
          <w:rFonts w:eastAsia="SimSun"/>
          <w:bCs/>
          <w:sz w:val="24"/>
          <w:szCs w:val="24"/>
          <w:lang w:eastAsia="zh-CN"/>
        </w:rPr>
        <w:t>14</w:t>
      </w:r>
      <w:r w:rsidR="00135951">
        <w:rPr>
          <w:rFonts w:eastAsia="SimSun"/>
          <w:bCs/>
          <w:sz w:val="24"/>
          <w:szCs w:val="24"/>
          <w:lang w:eastAsia="zh-CN"/>
        </w:rPr>
        <w:t xml:space="preserve"> – </w:t>
      </w:r>
      <w:r>
        <w:rPr>
          <w:rFonts w:eastAsia="SimSun"/>
          <w:bCs/>
          <w:sz w:val="24"/>
          <w:szCs w:val="24"/>
          <w:lang w:eastAsia="zh-CN"/>
        </w:rPr>
        <w:t>18</w:t>
      </w:r>
      <w:r w:rsidR="00135951">
        <w:rPr>
          <w:rFonts w:eastAsia="SimSun"/>
          <w:bCs/>
          <w:sz w:val="24"/>
          <w:szCs w:val="24"/>
          <w:lang w:eastAsia="zh-CN"/>
        </w:rPr>
        <w:t xml:space="preserve"> </w:t>
      </w:r>
      <w:r>
        <w:rPr>
          <w:rFonts w:eastAsia="SimSun"/>
          <w:bCs/>
          <w:sz w:val="24"/>
          <w:szCs w:val="24"/>
          <w:lang w:eastAsia="zh-CN"/>
        </w:rPr>
        <w:t xml:space="preserve">October </w:t>
      </w:r>
      <w:r w:rsidR="00135951">
        <w:rPr>
          <w:rFonts w:eastAsia="SimSun"/>
          <w:bCs/>
          <w:sz w:val="24"/>
          <w:szCs w:val="24"/>
          <w:lang w:eastAsia="zh-CN"/>
        </w:rPr>
        <w:t>2019</w:t>
      </w:r>
      <w:r w:rsidR="00135951">
        <w:rPr>
          <w:rFonts w:eastAsia="SimSun"/>
          <w:sz w:val="24"/>
          <w:szCs w:val="24"/>
          <w:lang w:eastAsia="zh-CN"/>
        </w:rPr>
        <w:tab/>
      </w:r>
    </w:p>
    <w:p w14:paraId="08603A53" w14:textId="77777777" w:rsidR="004E3F05" w:rsidRDefault="004E3F05">
      <w:pPr>
        <w:pStyle w:val="Header"/>
        <w:rPr>
          <w:bCs/>
          <w:sz w:val="24"/>
        </w:rPr>
      </w:pPr>
    </w:p>
    <w:p w14:paraId="6EAA2644" w14:textId="77777777" w:rsidR="004E3F05" w:rsidRDefault="004E3F05">
      <w:pPr>
        <w:pStyle w:val="Header"/>
        <w:rPr>
          <w:bCs/>
          <w:sz w:val="24"/>
        </w:rPr>
      </w:pPr>
    </w:p>
    <w:p w14:paraId="108AEDAD" w14:textId="46C04112" w:rsidR="004E3F05" w:rsidRDefault="00135951">
      <w:pPr>
        <w:pStyle w:val="CRCoverPage"/>
        <w:tabs>
          <w:tab w:val="left" w:pos="1985"/>
        </w:tabs>
        <w:rPr>
          <w:rFonts w:cs="Arial"/>
          <w:b/>
          <w:bCs/>
          <w:sz w:val="24"/>
          <w:lang w:eastAsia="ja-JP"/>
        </w:rPr>
      </w:pPr>
      <w:r>
        <w:rPr>
          <w:rFonts w:cs="Arial"/>
          <w:b/>
          <w:bCs/>
          <w:sz w:val="24"/>
        </w:rPr>
        <w:t>Agenda item:</w:t>
      </w:r>
      <w:r>
        <w:rPr>
          <w:rFonts w:cs="Arial"/>
          <w:b/>
          <w:bCs/>
          <w:sz w:val="24"/>
        </w:rPr>
        <w:tab/>
      </w:r>
      <w:r w:rsidR="00944F8F">
        <w:rPr>
          <w:rFonts w:cs="Arial"/>
          <w:b/>
          <w:bCs/>
          <w:sz w:val="24"/>
          <w:lang w:eastAsia="ja-JP"/>
        </w:rPr>
        <w:t>6.7.2.2.1</w:t>
      </w:r>
    </w:p>
    <w:p w14:paraId="3CCCB9C6" w14:textId="77777777" w:rsidR="004E3F05" w:rsidRDefault="00135951">
      <w:pPr>
        <w:tabs>
          <w:tab w:val="left" w:pos="1985"/>
        </w:tabs>
        <w:ind w:left="1985" w:hanging="1985"/>
        <w:rPr>
          <w:rFonts w:ascii="Arial" w:hAnsi="Arial" w:cs="Arial"/>
          <w:b/>
          <w:bCs/>
          <w:sz w:val="24"/>
        </w:rPr>
      </w:pPr>
      <w:r>
        <w:rPr>
          <w:rFonts w:ascii="Arial" w:hAnsi="Arial" w:cs="Arial"/>
          <w:b/>
          <w:bCs/>
          <w:sz w:val="24"/>
        </w:rPr>
        <w:t>Source:</w:t>
      </w:r>
      <w:r>
        <w:rPr>
          <w:rFonts w:ascii="Arial" w:hAnsi="Arial" w:cs="Arial"/>
          <w:b/>
          <w:bCs/>
          <w:sz w:val="24"/>
        </w:rPr>
        <w:tab/>
        <w:t>Noki</w:t>
      </w:r>
      <w:bookmarkStart w:id="0" w:name="_GoBack"/>
      <w:bookmarkEnd w:id="0"/>
      <w:r>
        <w:rPr>
          <w:rFonts w:ascii="Arial" w:hAnsi="Arial" w:cs="Arial"/>
          <w:b/>
          <w:bCs/>
          <w:sz w:val="24"/>
        </w:rPr>
        <w:t>a, Nokia Shanghai Bell</w:t>
      </w:r>
    </w:p>
    <w:p w14:paraId="14FFB60D" w14:textId="481BBBB9" w:rsidR="004E3F05" w:rsidRDefault="00135951">
      <w:pPr>
        <w:ind w:left="1985" w:hanging="1985"/>
        <w:rPr>
          <w:rFonts w:ascii="Arial" w:hAnsi="Arial" w:cs="Arial"/>
          <w:b/>
          <w:bCs/>
          <w:sz w:val="24"/>
          <w:lang w:val="en-US"/>
        </w:rPr>
      </w:pPr>
      <w:r>
        <w:rPr>
          <w:rFonts w:ascii="Arial" w:hAnsi="Arial" w:cs="Arial"/>
          <w:b/>
          <w:bCs/>
          <w:sz w:val="24"/>
        </w:rPr>
        <w:t>Title:</w:t>
      </w:r>
      <w:r>
        <w:rPr>
          <w:rFonts w:ascii="Arial" w:hAnsi="Arial" w:cs="Arial"/>
          <w:b/>
          <w:bCs/>
          <w:sz w:val="24"/>
        </w:rPr>
        <w:tab/>
        <w:t xml:space="preserve">Support for </w:t>
      </w:r>
      <w:r w:rsidR="00B9052F">
        <w:rPr>
          <w:rFonts w:ascii="Arial" w:hAnsi="Arial" w:cs="Arial"/>
          <w:b/>
          <w:bCs/>
          <w:sz w:val="24"/>
        </w:rPr>
        <w:t xml:space="preserve">arbitrary </w:t>
      </w:r>
      <w:r>
        <w:rPr>
          <w:rFonts w:ascii="Arial" w:hAnsi="Arial" w:cs="Arial"/>
          <w:b/>
          <w:bCs/>
          <w:sz w:val="24"/>
        </w:rPr>
        <w:t>TSC message periodicities</w:t>
      </w:r>
    </w:p>
    <w:p w14:paraId="30F7D163" w14:textId="77777777" w:rsidR="004E3F05" w:rsidRDefault="00135951">
      <w:pPr>
        <w:ind w:left="1985" w:hanging="1985"/>
        <w:rPr>
          <w:rFonts w:ascii="Arial" w:hAnsi="Arial" w:cs="Arial"/>
          <w:b/>
          <w:bCs/>
          <w:sz w:val="24"/>
        </w:rPr>
      </w:pPr>
      <w:r>
        <w:rPr>
          <w:rFonts w:ascii="Arial" w:hAnsi="Arial" w:cs="Arial"/>
          <w:b/>
          <w:bCs/>
          <w:sz w:val="24"/>
        </w:rPr>
        <w:t>WID/SID:</w:t>
      </w:r>
      <w:r>
        <w:rPr>
          <w:rFonts w:ascii="Arial" w:hAnsi="Arial" w:cs="Arial"/>
          <w:b/>
          <w:bCs/>
          <w:sz w:val="24"/>
        </w:rPr>
        <w:tab/>
        <w:t>NR_IIOT</w:t>
      </w:r>
    </w:p>
    <w:p w14:paraId="2E289370" w14:textId="77777777" w:rsidR="004E3F05" w:rsidRDefault="00135951">
      <w:pPr>
        <w:tabs>
          <w:tab w:val="left" w:pos="1985"/>
        </w:tabs>
        <w:rPr>
          <w:rFonts w:ascii="Arial" w:hAnsi="Arial" w:cs="Arial"/>
          <w:b/>
          <w:bCs/>
          <w:sz w:val="24"/>
        </w:rPr>
      </w:pPr>
      <w:r>
        <w:rPr>
          <w:rFonts w:ascii="Arial" w:hAnsi="Arial" w:cs="Arial"/>
          <w:b/>
          <w:bCs/>
          <w:sz w:val="24"/>
        </w:rPr>
        <w:t>Document for:</w:t>
      </w:r>
      <w:r>
        <w:rPr>
          <w:rFonts w:ascii="Arial" w:hAnsi="Arial" w:cs="Arial"/>
          <w:b/>
          <w:bCs/>
          <w:sz w:val="24"/>
        </w:rPr>
        <w:tab/>
        <w:t>Discussion and Decision</w:t>
      </w:r>
    </w:p>
    <w:p w14:paraId="65AD0CAC" w14:textId="77777777" w:rsidR="004E3F05" w:rsidRDefault="00135951">
      <w:pPr>
        <w:pStyle w:val="Heading1"/>
      </w:pPr>
      <w:r>
        <w:t>1</w:t>
      </w:r>
      <w:r>
        <w:tab/>
        <w:t>Introduction</w:t>
      </w:r>
    </w:p>
    <w:p w14:paraId="3ACC0C49" w14:textId="77777777" w:rsidR="004E3F05" w:rsidRDefault="00135951">
      <w:r>
        <w:t>In RAN plenary meeting #83 one of the TSC topics agreed to be addressed as a part of the WID on “Support of NR Industrial Internet of Things (IoT)” [1] is:</w:t>
      </w:r>
    </w:p>
    <w:p w14:paraId="41001247" w14:textId="77777777" w:rsidR="004E3F05" w:rsidRDefault="00135951">
      <w:pPr>
        <w:pStyle w:val="ListParagraph"/>
        <w:numPr>
          <w:ilvl w:val="0"/>
          <w:numId w:val="2"/>
        </w:numPr>
      </w:pPr>
      <w:r>
        <w:t>Address support for TSC message periodicities with non-integer multiple of NR supported CG/SPS periodicities, as captured in TR 38.825, section 6.5.2. [RAN2, RAN1].</w:t>
      </w:r>
    </w:p>
    <w:p w14:paraId="3ACA0BC1" w14:textId="77777777" w:rsidR="004E3F05" w:rsidRDefault="00135951">
      <w:r>
        <w:t>The issue of non-integer multiples of TSC traffic periodicities of CG/SPS periodicities is described in more detail in Table 6.5.2-1 of TR 38.825 [2], as copied below.</w:t>
      </w:r>
    </w:p>
    <w:tbl>
      <w:tblPr>
        <w:tblpPr w:leftFromText="141" w:rightFromText="141" w:vertAnchor="text" w:horzAnchor="margin" w:tblpY="74"/>
        <w:tblW w:w="9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0"/>
        <w:gridCol w:w="1946"/>
        <w:gridCol w:w="3465"/>
        <w:gridCol w:w="3681"/>
      </w:tblGrid>
      <w:tr w:rsidR="004E3F05" w14:paraId="08145DD7" w14:textId="77777777">
        <w:tc>
          <w:tcPr>
            <w:tcW w:w="539" w:type="dxa"/>
            <w:tcBorders>
              <w:top w:val="single" w:sz="4" w:space="0" w:color="000000"/>
              <w:left w:val="single" w:sz="4" w:space="0" w:color="000000"/>
              <w:bottom w:val="single" w:sz="4" w:space="0" w:color="000000"/>
              <w:right w:val="single" w:sz="4" w:space="0" w:color="000000"/>
            </w:tcBorders>
            <w:shd w:val="clear" w:color="auto" w:fill="auto"/>
          </w:tcPr>
          <w:p w14:paraId="7431BC68" w14:textId="77777777" w:rsidR="004E3F05" w:rsidRDefault="00135951">
            <w:pPr>
              <w:pStyle w:val="TAH"/>
              <w:rPr>
                <w:rFonts w:eastAsia="SimSun"/>
                <w:lang w:val="en-US"/>
              </w:rPr>
            </w:pPr>
            <w:r>
              <w:rPr>
                <w:rFonts w:eastAsia="SimSun"/>
                <w:lang w:val="en-US"/>
              </w:rPr>
              <w:t>No.</w:t>
            </w:r>
          </w:p>
        </w:tc>
        <w:tc>
          <w:tcPr>
            <w:tcW w:w="1946" w:type="dxa"/>
            <w:tcBorders>
              <w:top w:val="single" w:sz="4" w:space="0" w:color="000000"/>
              <w:left w:val="single" w:sz="4" w:space="0" w:color="000000"/>
              <w:bottom w:val="single" w:sz="4" w:space="0" w:color="000000"/>
              <w:right w:val="single" w:sz="4" w:space="0" w:color="000000"/>
            </w:tcBorders>
            <w:shd w:val="clear" w:color="auto" w:fill="auto"/>
          </w:tcPr>
          <w:p w14:paraId="3315E50F" w14:textId="77777777" w:rsidR="004E3F05" w:rsidRDefault="00135951">
            <w:pPr>
              <w:pStyle w:val="TAH"/>
              <w:rPr>
                <w:rFonts w:eastAsia="SimSun"/>
                <w:lang w:val="en-US"/>
              </w:rPr>
            </w:pPr>
            <w:r>
              <w:rPr>
                <w:rFonts w:eastAsia="SimSun"/>
                <w:lang w:val="en-US"/>
              </w:rPr>
              <w:t>TSN traffic characteristic</w:t>
            </w:r>
          </w:p>
        </w:tc>
        <w:tc>
          <w:tcPr>
            <w:tcW w:w="3465" w:type="dxa"/>
            <w:tcBorders>
              <w:top w:val="single" w:sz="4" w:space="0" w:color="000000"/>
              <w:left w:val="single" w:sz="4" w:space="0" w:color="000000"/>
              <w:bottom w:val="single" w:sz="4" w:space="0" w:color="000000"/>
              <w:right w:val="single" w:sz="4" w:space="0" w:color="000000"/>
            </w:tcBorders>
            <w:shd w:val="clear" w:color="auto" w:fill="auto"/>
          </w:tcPr>
          <w:p w14:paraId="6A012CEA" w14:textId="77777777" w:rsidR="004E3F05" w:rsidRDefault="00135951">
            <w:pPr>
              <w:pStyle w:val="TAH"/>
              <w:rPr>
                <w:rFonts w:eastAsia="SimSun"/>
                <w:lang w:val="en-US"/>
              </w:rPr>
            </w:pPr>
            <w:r>
              <w:rPr>
                <w:rFonts w:eastAsia="SimSun"/>
                <w:lang w:val="en-US"/>
              </w:rPr>
              <w:t>Description</w:t>
            </w:r>
          </w:p>
        </w:tc>
        <w:tc>
          <w:tcPr>
            <w:tcW w:w="3681" w:type="dxa"/>
            <w:tcBorders>
              <w:top w:val="single" w:sz="4" w:space="0" w:color="000000"/>
              <w:left w:val="single" w:sz="4" w:space="0" w:color="000000"/>
              <w:bottom w:val="single" w:sz="4" w:space="0" w:color="000000"/>
              <w:right w:val="single" w:sz="4" w:space="0" w:color="000000"/>
            </w:tcBorders>
            <w:shd w:val="clear" w:color="auto" w:fill="auto"/>
          </w:tcPr>
          <w:p w14:paraId="4A24FD40" w14:textId="77777777" w:rsidR="004E3F05" w:rsidRDefault="00135951">
            <w:pPr>
              <w:pStyle w:val="TAH"/>
              <w:rPr>
                <w:rFonts w:eastAsia="SimSun"/>
                <w:lang w:val="en-US"/>
              </w:rPr>
            </w:pPr>
            <w:r>
              <w:rPr>
                <w:rFonts w:eastAsia="SimSun"/>
                <w:lang w:val="en-US"/>
              </w:rPr>
              <w:t>Potential solutions and enhancements</w:t>
            </w:r>
          </w:p>
        </w:tc>
      </w:tr>
      <w:tr w:rsidR="004E3F05" w14:paraId="477025D3" w14:textId="77777777">
        <w:tc>
          <w:tcPr>
            <w:tcW w:w="539" w:type="dxa"/>
            <w:tcBorders>
              <w:top w:val="single" w:sz="4" w:space="0" w:color="000000"/>
              <w:left w:val="single" w:sz="4" w:space="0" w:color="000000"/>
              <w:bottom w:val="single" w:sz="4" w:space="0" w:color="000000"/>
              <w:right w:val="single" w:sz="4" w:space="0" w:color="000000"/>
            </w:tcBorders>
            <w:shd w:val="clear" w:color="auto" w:fill="auto"/>
          </w:tcPr>
          <w:p w14:paraId="1060AF90" w14:textId="77777777" w:rsidR="004E3F05" w:rsidRDefault="00135951">
            <w:pPr>
              <w:pStyle w:val="TAL"/>
              <w:rPr>
                <w:rFonts w:eastAsia="SimSun"/>
                <w:lang w:val="en-US"/>
              </w:rPr>
            </w:pPr>
            <w:r>
              <w:rPr>
                <w:rFonts w:eastAsia="SimSun"/>
                <w:lang w:val="en-US"/>
              </w:rPr>
              <w:t>4</w:t>
            </w:r>
          </w:p>
        </w:tc>
        <w:tc>
          <w:tcPr>
            <w:tcW w:w="1946" w:type="dxa"/>
            <w:tcBorders>
              <w:top w:val="single" w:sz="4" w:space="0" w:color="000000"/>
              <w:left w:val="single" w:sz="4" w:space="0" w:color="000000"/>
              <w:bottom w:val="single" w:sz="4" w:space="0" w:color="000000"/>
              <w:right w:val="single" w:sz="4" w:space="0" w:color="000000"/>
            </w:tcBorders>
            <w:shd w:val="clear" w:color="auto" w:fill="auto"/>
          </w:tcPr>
          <w:p w14:paraId="683BF277" w14:textId="77777777" w:rsidR="004E3F05" w:rsidRDefault="00135951">
            <w:pPr>
              <w:pStyle w:val="TAL"/>
              <w:rPr>
                <w:rFonts w:eastAsia="SimSun"/>
                <w:lang w:val="en-US"/>
              </w:rPr>
            </w:pPr>
            <w:r>
              <w:rPr>
                <w:rFonts w:eastAsia="SimSun"/>
                <w:lang w:val="en-US"/>
              </w:rPr>
              <w:t>TSN message periodicities with non-integer multiple of NR supported periodicities</w:t>
            </w:r>
          </w:p>
        </w:tc>
        <w:tc>
          <w:tcPr>
            <w:tcW w:w="3465" w:type="dxa"/>
            <w:tcBorders>
              <w:top w:val="single" w:sz="4" w:space="0" w:color="000000"/>
              <w:left w:val="single" w:sz="4" w:space="0" w:color="000000"/>
              <w:bottom w:val="single" w:sz="4" w:space="0" w:color="000000"/>
              <w:right w:val="single" w:sz="4" w:space="0" w:color="000000"/>
            </w:tcBorders>
            <w:shd w:val="clear" w:color="auto" w:fill="auto"/>
          </w:tcPr>
          <w:p w14:paraId="5ED1A030" w14:textId="77777777" w:rsidR="004E3F05" w:rsidRDefault="00135951">
            <w:pPr>
              <w:pStyle w:val="TAL"/>
              <w:rPr>
                <w:rFonts w:eastAsia="SimSun"/>
                <w:lang w:val="en-US"/>
              </w:rPr>
            </w:pPr>
            <w:r>
              <w:rPr>
                <w:rFonts w:eastAsia="SimSun"/>
                <w:lang w:val="en-US"/>
              </w:rPr>
              <w:t xml:space="preserve">In TSN use cases, the periodicity of data packets which are sent depends on application and in majority of the cases, it is not possible to modify it. There may be use cases where periodicity values are not multiple of NR slot or symbol period, which are used to configure CG/SPS periodicity. </w:t>
            </w:r>
            <w:r>
              <w:rPr>
                <w:rFonts w:eastAsia="SimSun"/>
                <w:b/>
                <w:lang w:val="en-US"/>
              </w:rPr>
              <w:t>The severity of this issue depends on the traffic's latency requirement and the frequency of misalignment occurrences</w:t>
            </w:r>
            <w:r>
              <w:rPr>
                <w:rFonts w:eastAsia="SimSun"/>
                <w:lang w:val="en-US"/>
              </w:rPr>
              <w:t>.</w:t>
            </w:r>
          </w:p>
        </w:tc>
        <w:tc>
          <w:tcPr>
            <w:tcW w:w="3681" w:type="dxa"/>
            <w:tcBorders>
              <w:top w:val="single" w:sz="4" w:space="0" w:color="000000"/>
              <w:left w:val="single" w:sz="4" w:space="0" w:color="000000"/>
              <w:bottom w:val="single" w:sz="4" w:space="0" w:color="000000"/>
              <w:right w:val="single" w:sz="4" w:space="0" w:color="000000"/>
            </w:tcBorders>
            <w:shd w:val="clear" w:color="auto" w:fill="auto"/>
          </w:tcPr>
          <w:p w14:paraId="2AFB2CED" w14:textId="77777777" w:rsidR="004E3F05" w:rsidRDefault="00135951">
            <w:pPr>
              <w:pStyle w:val="TAL"/>
              <w:rPr>
                <w:rFonts w:eastAsia="SimSun"/>
                <w:lang w:val="en-US"/>
              </w:rPr>
            </w:pPr>
            <w:r>
              <w:rPr>
                <w:rFonts w:eastAsia="SimSun"/>
                <w:lang w:val="en-US"/>
              </w:rPr>
              <w:t>The following solutions could potentially help in resolving or mitigating the issue:</w:t>
            </w:r>
          </w:p>
          <w:p w14:paraId="00F751A0" w14:textId="77777777" w:rsidR="004E3F05" w:rsidRDefault="00135951">
            <w:pPr>
              <w:pStyle w:val="TAL"/>
              <w:ind w:left="288" w:hanging="283"/>
              <w:rPr>
                <w:rFonts w:eastAsia="SimSun"/>
              </w:rPr>
            </w:pPr>
            <w:r>
              <w:rPr>
                <w:rFonts w:eastAsia="SimSun"/>
              </w:rPr>
              <w:t>-</w:t>
            </w:r>
            <w:r>
              <w:tab/>
            </w:r>
            <w:r>
              <w:rPr>
                <w:rFonts w:eastAsia="SimSun"/>
                <w:b/>
              </w:rPr>
              <w:t>Adjustment of SPS/CG resource by RRC reconfiguration</w:t>
            </w:r>
            <w:r>
              <w:rPr>
                <w:rFonts w:eastAsia="SimSun"/>
              </w:rPr>
              <w:t xml:space="preserve"> (as per current specification)</w:t>
            </w:r>
          </w:p>
          <w:p w14:paraId="2B030C37" w14:textId="77777777" w:rsidR="004E3F05" w:rsidRDefault="00135951">
            <w:pPr>
              <w:pStyle w:val="TAL"/>
              <w:ind w:left="288" w:hanging="283"/>
              <w:rPr>
                <w:rFonts w:eastAsia="SimSun"/>
                <w:lang w:val="en-US"/>
              </w:rPr>
            </w:pPr>
            <w:r>
              <w:rPr>
                <w:rFonts w:eastAsia="SimSun"/>
                <w:lang w:val="en-US"/>
              </w:rPr>
              <w:t>-</w:t>
            </w:r>
            <w:r>
              <w:tab/>
            </w:r>
            <w:r>
              <w:rPr>
                <w:rFonts w:eastAsia="SimSun"/>
                <w:b/>
                <w:lang w:val="en-US"/>
              </w:rPr>
              <w:t>Usage of short SPS/CG periodicities and/or multiple SPS/CG configurations and/or combination thereof</w:t>
            </w:r>
            <w:r>
              <w:rPr>
                <w:rFonts w:eastAsia="SimSun"/>
                <w:lang w:val="en-US"/>
              </w:rPr>
              <w:t xml:space="preserve"> (for SPS, support for shorter periodicities than those available in Rel-15 may be required)</w:t>
            </w:r>
            <w:bookmarkStart w:id="1" w:name="_Hlk944152"/>
            <w:bookmarkEnd w:id="1"/>
          </w:p>
          <w:p w14:paraId="2EF87073" w14:textId="77777777" w:rsidR="004E3F05" w:rsidRDefault="00135951">
            <w:pPr>
              <w:pStyle w:val="TAL"/>
              <w:ind w:left="288" w:hanging="283"/>
              <w:rPr>
                <w:rFonts w:eastAsia="SimSun"/>
                <w:lang w:val="en-US"/>
              </w:rPr>
            </w:pPr>
            <w:r>
              <w:rPr>
                <w:rFonts w:eastAsia="SimSun"/>
                <w:lang w:val="en-US"/>
              </w:rPr>
              <w:t>-</w:t>
            </w:r>
            <w:r>
              <w:tab/>
            </w:r>
            <w:r>
              <w:rPr>
                <w:rFonts w:eastAsia="SimSun"/>
                <w:b/>
                <w:lang w:val="en-US"/>
              </w:rPr>
              <w:t>More efficient adjustment of SPS/CG resource timing in the UE as compared to RRC reconfiguration</w:t>
            </w:r>
            <w:r>
              <w:rPr>
                <w:rFonts w:eastAsia="SimSun"/>
                <w:lang w:val="en-US"/>
              </w:rPr>
              <w:t>, e.g. based on network configuration or dynamic network signaling and which could be based on knowledge of TSN traffic pattern</w:t>
            </w:r>
          </w:p>
          <w:p w14:paraId="0BFEC249" w14:textId="77777777" w:rsidR="004E3F05" w:rsidRDefault="00135951">
            <w:pPr>
              <w:pStyle w:val="TAL"/>
              <w:ind w:left="288" w:hanging="283"/>
              <w:rPr>
                <w:rFonts w:eastAsia="SimSun"/>
                <w:lang w:val="en-US"/>
              </w:rPr>
            </w:pPr>
            <w:r>
              <w:rPr>
                <w:rFonts w:eastAsia="SimSun"/>
                <w:lang w:val="en-US"/>
              </w:rPr>
              <w:t>-</w:t>
            </w:r>
            <w:r>
              <w:tab/>
            </w:r>
            <w:r>
              <w:rPr>
                <w:rFonts w:eastAsia="SimSun"/>
                <w:lang w:val="en-US"/>
              </w:rPr>
              <w:t>Applying de-jittering buffer at the edges of 5G system</w:t>
            </w:r>
          </w:p>
        </w:tc>
      </w:tr>
    </w:tbl>
    <w:p w14:paraId="3467F3CC" w14:textId="77777777" w:rsidR="004E3F05" w:rsidRDefault="004E3F05"/>
    <w:p w14:paraId="130096B4" w14:textId="1D2493C8" w:rsidR="004E3F05" w:rsidRDefault="00135951">
      <w:r>
        <w:t>With respect to this objective, RAN2 has agreed the following:</w:t>
      </w:r>
    </w:p>
    <w:tbl>
      <w:tblPr>
        <w:tblStyle w:val="TableGrid"/>
        <w:tblW w:w="9631" w:type="dxa"/>
        <w:tblLook w:val="04A0" w:firstRow="1" w:lastRow="0" w:firstColumn="1" w:lastColumn="0" w:noHBand="0" w:noVBand="1"/>
      </w:tblPr>
      <w:tblGrid>
        <w:gridCol w:w="9631"/>
      </w:tblGrid>
      <w:tr w:rsidR="004E3F05" w14:paraId="2DFD8C3E" w14:textId="77777777">
        <w:tc>
          <w:tcPr>
            <w:tcW w:w="9631" w:type="dxa"/>
            <w:shd w:val="clear" w:color="auto" w:fill="auto"/>
          </w:tcPr>
          <w:p w14:paraId="18A236B5" w14:textId="77777777" w:rsidR="004E3F05" w:rsidRDefault="00135951">
            <w:pPr>
              <w:pStyle w:val="Agreement"/>
              <w:numPr>
                <w:ilvl w:val="0"/>
                <w:numId w:val="3"/>
              </w:numPr>
              <w:tabs>
                <w:tab w:val="left" w:pos="1309"/>
              </w:tabs>
              <w:ind w:left="600" w:firstLine="0"/>
            </w:pPr>
            <w:r>
              <w:t>R2 assumes that the maximum number of active SPS configurations for a given BWP of a serving cell in the specification is 8 or 16 (FFS).</w:t>
            </w:r>
          </w:p>
          <w:p w14:paraId="221983E4" w14:textId="77777777" w:rsidR="004E3F05" w:rsidRDefault="00135951">
            <w:pPr>
              <w:pStyle w:val="Agreement"/>
              <w:numPr>
                <w:ilvl w:val="0"/>
                <w:numId w:val="3"/>
              </w:numPr>
              <w:tabs>
                <w:tab w:val="left" w:pos="1309"/>
              </w:tabs>
              <w:ind w:left="600" w:firstLine="0"/>
            </w:pPr>
            <w:r>
              <w:rPr>
                <w:lang w:eastAsia="ja-JP"/>
              </w:rPr>
              <w:t xml:space="preserve">R2 assumes short SPS/CG periodicities and/or multiple SPS/CG configurations and/or combination thereof could be used to mitigate the periodicity misalignment between the TSN periodicity and CG/SPS periodicity. Other solutions not precluded, e.g. to address resource consumption. </w:t>
            </w:r>
          </w:p>
          <w:p w14:paraId="47E575E7" w14:textId="77777777" w:rsidR="004E3F05" w:rsidRDefault="00135951">
            <w:pPr>
              <w:pStyle w:val="Agreement"/>
              <w:numPr>
                <w:ilvl w:val="0"/>
                <w:numId w:val="3"/>
              </w:numPr>
              <w:ind w:left="600" w:firstLine="0"/>
            </w:pPr>
            <w:r>
              <w:t>Will support “short” SPS periodicities, at least down to 0.5ms</w:t>
            </w:r>
          </w:p>
          <w:p w14:paraId="48E901F9" w14:textId="77777777" w:rsidR="004E3F05" w:rsidRDefault="00135951">
            <w:pPr>
              <w:pStyle w:val="Agreement"/>
              <w:numPr>
                <w:ilvl w:val="0"/>
                <w:numId w:val="3"/>
              </w:numPr>
              <w:ind w:left="600" w:firstLine="0"/>
            </w:pPr>
            <w:r>
              <w:lastRenderedPageBreak/>
              <w:t xml:space="preserve">Ask R1 on feasibility, and additionally the feasibility to go down to even lower values, e.g. 2 </w:t>
            </w:r>
            <w:proofErr w:type="spellStart"/>
            <w:r>
              <w:t>symb</w:t>
            </w:r>
            <w:proofErr w:type="spellEnd"/>
            <w:r>
              <w:t xml:space="preserve">.  </w:t>
            </w:r>
          </w:p>
        </w:tc>
      </w:tr>
    </w:tbl>
    <w:p w14:paraId="72F9F7BE" w14:textId="77777777" w:rsidR="004E3F05" w:rsidRDefault="004E3F05"/>
    <w:p w14:paraId="7AA23054" w14:textId="335B8C10" w:rsidR="004E3F05" w:rsidRDefault="00135951">
      <w:r>
        <w:t xml:space="preserve">In [10] RAN1 replied to the questions asked by RAN2 on the feasibility of support multiple SPS configurations and shorter SPS </w:t>
      </w:r>
      <w:r>
        <w:t xml:space="preserve">periodicities. RAN1 confirmed periodicities of down to slot level are feasible (hence, e.g., 1 </w:t>
      </w:r>
      <w:proofErr w:type="spellStart"/>
      <w:r>
        <w:t>ms</w:t>
      </w:r>
      <w:proofErr w:type="spellEnd"/>
      <w:r>
        <w:t xml:space="preserve"> for SCS of 15 kHz or 0.5 </w:t>
      </w:r>
      <w:proofErr w:type="spellStart"/>
      <w:r>
        <w:t>ms</w:t>
      </w:r>
      <w:proofErr w:type="spellEnd"/>
      <w:r>
        <w:t xml:space="preserve"> for SCS of </w:t>
      </w:r>
      <w:r w:rsidR="002656EF">
        <w:t xml:space="preserve">30 </w:t>
      </w:r>
      <w:r>
        <w:t xml:space="preserve">kHz) and recommended support of up to 8 simultaneously active SPS configurations. For UL, RAN1 agreed to support </w:t>
      </w:r>
      <w:r>
        <w:t>up to 12 simultaneously active CG configurations.</w:t>
      </w:r>
    </w:p>
    <w:p w14:paraId="29EBC90B" w14:textId="58235A1F" w:rsidR="000A2358" w:rsidRDefault="00833A1F">
      <w:r>
        <w:t xml:space="preserve">While the agreed periodicities and configurations are a good starting </w:t>
      </w:r>
      <w:r w:rsidR="00F7080A">
        <w:t xml:space="preserve">point </w:t>
      </w:r>
      <w:r w:rsidR="007931D8">
        <w:t xml:space="preserve">to handle </w:t>
      </w:r>
      <w:r w:rsidR="00464042">
        <w:t xml:space="preserve">TSC flows with </w:t>
      </w:r>
      <w:r w:rsidR="007931D8">
        <w:t xml:space="preserve">arbitrary periodicities, we </w:t>
      </w:r>
      <w:r w:rsidR="00135951">
        <w:t>discuss</w:t>
      </w:r>
      <w:r w:rsidR="00135951">
        <w:t xml:space="preserve"> </w:t>
      </w:r>
      <w:r w:rsidR="0082583B">
        <w:t xml:space="preserve">in this contribution </w:t>
      </w:r>
      <w:r w:rsidR="00675C8A">
        <w:t>if</w:t>
      </w:r>
      <w:r w:rsidR="00821249">
        <w:t xml:space="preserve"> </w:t>
      </w:r>
      <w:r w:rsidR="0082583B">
        <w:t xml:space="preserve">a </w:t>
      </w:r>
      <w:r w:rsidR="00135951">
        <w:t>dedicated solution</w:t>
      </w:r>
      <w:r w:rsidR="00135951">
        <w:t xml:space="preserve"> </w:t>
      </w:r>
      <w:r w:rsidR="00675C8A">
        <w:t xml:space="preserve">can further enhance the </w:t>
      </w:r>
      <w:r w:rsidR="0059227D">
        <w:t>performance</w:t>
      </w:r>
      <w:r w:rsidR="007E0237">
        <w:t xml:space="preserve"> (alignment latency, efficiency, signalling overhead). </w:t>
      </w:r>
      <w:r w:rsidR="00E1450E">
        <w:t>W</w:t>
      </w:r>
      <w:r w:rsidR="007E0237">
        <w:t xml:space="preserve">e </w:t>
      </w:r>
      <w:r w:rsidR="00907EDA">
        <w:t xml:space="preserve">compare </w:t>
      </w:r>
      <w:r w:rsidR="009971BE">
        <w:t xml:space="preserve">solutions </w:t>
      </w:r>
      <w:r w:rsidR="00AA450B">
        <w:t xml:space="preserve">to handle </w:t>
      </w:r>
      <w:r w:rsidR="00135951">
        <w:t xml:space="preserve">TSC flows with </w:t>
      </w:r>
      <w:r w:rsidR="00B73EAF">
        <w:t xml:space="preserve">arbitrary </w:t>
      </w:r>
      <w:r w:rsidR="00135951">
        <w:t xml:space="preserve">TSC periodicities </w:t>
      </w:r>
      <w:r w:rsidR="000A2358">
        <w:t>that</w:t>
      </w:r>
      <w:r w:rsidR="00135951">
        <w:t xml:space="preserve"> </w:t>
      </w:r>
      <w:r w:rsidR="00B73EAF">
        <w:t xml:space="preserve">are </w:t>
      </w:r>
      <w:r w:rsidR="000A2358">
        <w:t xml:space="preserve">not aligned with </w:t>
      </w:r>
      <w:r w:rsidR="00E1450E">
        <w:t>CG/SPS</w:t>
      </w:r>
      <w:r w:rsidR="000A2358">
        <w:t xml:space="preserve"> periodicities</w:t>
      </w:r>
      <w:r w:rsidR="00E1450E">
        <w:t xml:space="preserve"> in NR</w:t>
      </w:r>
      <w:r w:rsidR="00AA450B">
        <w:t>. We consider that these solutions should be capable of handling cases where:</w:t>
      </w:r>
      <w:r w:rsidR="00B73EAF">
        <w:t xml:space="preserve"> </w:t>
      </w:r>
    </w:p>
    <w:p w14:paraId="43D6E913" w14:textId="0E72C198" w:rsidR="007175EC" w:rsidRDefault="00AA450B" w:rsidP="007175EC">
      <w:pPr>
        <w:pStyle w:val="ListParagraph"/>
        <w:numPr>
          <w:ilvl w:val="0"/>
          <w:numId w:val="12"/>
        </w:numPr>
      </w:pPr>
      <w:r>
        <w:t>The TSC flow periodicity is</w:t>
      </w:r>
      <w:r w:rsidR="00715B64">
        <w:t xml:space="preserve"> not among supported </w:t>
      </w:r>
      <w:r w:rsidR="00135951">
        <w:t xml:space="preserve">CG/SPS </w:t>
      </w:r>
      <w:r w:rsidR="00715B64">
        <w:t>periodicities</w:t>
      </w:r>
      <w:r>
        <w:t>.</w:t>
      </w:r>
    </w:p>
    <w:p w14:paraId="7D29E01E" w14:textId="6379ADA6" w:rsidR="000A2358" w:rsidRDefault="00AA450B" w:rsidP="000A2358">
      <w:pPr>
        <w:pStyle w:val="ListParagraph"/>
        <w:numPr>
          <w:ilvl w:val="0"/>
          <w:numId w:val="12"/>
        </w:numPr>
      </w:pPr>
      <w:r>
        <w:t>The TSC flow periodicity is a</w:t>
      </w:r>
      <w:r w:rsidR="00715B64">
        <w:t xml:space="preserve"> </w:t>
      </w:r>
      <w:r w:rsidR="000A2358">
        <w:t xml:space="preserve">non-integer multiple of </w:t>
      </w:r>
      <w:r>
        <w:t>a</w:t>
      </w:r>
      <w:r w:rsidR="000A2358">
        <w:t xml:space="preserve"> TDD period</w:t>
      </w:r>
      <w:r w:rsidR="00715B64">
        <w:t>,</w:t>
      </w:r>
      <w:r w:rsidR="000A2358">
        <w:t xml:space="preserve"> e.g.</w:t>
      </w:r>
      <w:r w:rsidR="004914FD">
        <w:t>,</w:t>
      </w:r>
      <w:r w:rsidR="000A2358">
        <w:t xml:space="preserve"> 0.625ms</w:t>
      </w:r>
      <w:r w:rsidR="00F427FE">
        <w:t>.</w:t>
      </w:r>
    </w:p>
    <w:p w14:paraId="3B24ED8B" w14:textId="6A5AB061" w:rsidR="004E3F05" w:rsidRDefault="00027C7D" w:rsidP="000A2358">
      <w:r>
        <w:t>The d</w:t>
      </w:r>
      <w:r w:rsidR="000B03A8">
        <w:t>iscussion is</w:t>
      </w:r>
      <w:r w:rsidR="00234835">
        <w:t xml:space="preserve"> also</w:t>
      </w:r>
      <w:r w:rsidR="000B03A8">
        <w:t xml:space="preserve"> </w:t>
      </w:r>
      <w:r w:rsidR="00135951">
        <w:t>considering the agreements reached so far</w:t>
      </w:r>
      <w:r w:rsidR="007E06B7" w:rsidRPr="007E06B7">
        <w:t xml:space="preserve"> </w:t>
      </w:r>
      <w:r w:rsidR="007E06B7">
        <w:t xml:space="preserve">and indications from different companies for introduction </w:t>
      </w:r>
      <w:r w:rsidR="00F4539C">
        <w:t>of</w:t>
      </w:r>
      <w:r w:rsidR="007E06B7">
        <w:t xml:space="preserve"> new periodicities in email discussion on </w:t>
      </w:r>
      <w:r w:rsidR="007E06B7" w:rsidRPr="007E06B7">
        <w:t>CG/SPS for TSC</w:t>
      </w:r>
      <w:r w:rsidR="007E06B7">
        <w:t xml:space="preserve"> [11]</w:t>
      </w:r>
      <w:r w:rsidR="00135951">
        <w:t xml:space="preserve">. </w:t>
      </w:r>
    </w:p>
    <w:p w14:paraId="12B9BE0C" w14:textId="77777777" w:rsidR="004E3F05" w:rsidRDefault="00135951">
      <w:pPr>
        <w:pStyle w:val="Heading1"/>
      </w:pPr>
      <w:r>
        <w:t>2</w:t>
      </w:r>
      <w:r>
        <w:tab/>
        <w:t>Motivation</w:t>
      </w:r>
    </w:p>
    <w:p w14:paraId="5813044B" w14:textId="6741A01B" w:rsidR="009E4610" w:rsidRDefault="008F5AD0" w:rsidP="00FD7175">
      <w:r>
        <w:t xml:space="preserve">Support for </w:t>
      </w:r>
      <w:r w:rsidR="000B03A8">
        <w:t xml:space="preserve">arbitrary </w:t>
      </w:r>
      <w:r w:rsidR="00F63A21">
        <w:t xml:space="preserve">TSC </w:t>
      </w:r>
      <w:r>
        <w:t xml:space="preserve">periodicities that are </w:t>
      </w:r>
      <w:r w:rsidR="000B03A8">
        <w:t xml:space="preserve">not aligned with NR </w:t>
      </w:r>
      <w:r w:rsidR="007515C6">
        <w:t>CG/SPS</w:t>
      </w:r>
      <w:r w:rsidR="000B03A8">
        <w:t xml:space="preserve"> periodicities</w:t>
      </w:r>
      <w:r w:rsidR="003B0FB1">
        <w:t xml:space="preserve"> is not </w:t>
      </w:r>
      <w:r>
        <w:t>straightforward</w:t>
      </w:r>
      <w:r w:rsidR="00E1450E">
        <w:t xml:space="preserve">, </w:t>
      </w:r>
      <w:proofErr w:type="gramStart"/>
      <w:r w:rsidR="00E1450E">
        <w:t>in p</w:t>
      </w:r>
      <w:r w:rsidR="003B0FB1">
        <w:t>articular when</w:t>
      </w:r>
      <w:proofErr w:type="gramEnd"/>
      <w:r w:rsidR="003B0FB1">
        <w:t xml:space="preserve"> the objective is to provide high</w:t>
      </w:r>
      <w:r w:rsidR="00F161A3">
        <w:t xml:space="preserve"> efficiency </w:t>
      </w:r>
      <w:r w:rsidR="003B0FB1">
        <w:t>(signalling and spectral)</w:t>
      </w:r>
      <w:r w:rsidR="00F161A3">
        <w:t xml:space="preserve"> </w:t>
      </w:r>
      <w:r w:rsidR="00980A9A">
        <w:t>together with a</w:t>
      </w:r>
      <w:r w:rsidR="00F161A3">
        <w:t xml:space="preserve"> minimal misalignment</w:t>
      </w:r>
      <w:r w:rsidR="00D8419E">
        <w:t xml:space="preserve"> with arbitrary </w:t>
      </w:r>
      <w:r w:rsidR="00F4539C">
        <w:t xml:space="preserve">TSC </w:t>
      </w:r>
      <w:r w:rsidR="00D8419E">
        <w:t>period</w:t>
      </w:r>
      <w:r>
        <w:t>.</w:t>
      </w:r>
      <w:r w:rsidR="00FD7175">
        <w:t xml:space="preserve"> </w:t>
      </w:r>
      <w:r w:rsidR="005C5FFA">
        <w:t>The challenge is only amplified when also considering mismatch with NR</w:t>
      </w:r>
      <w:r w:rsidR="00907EDA">
        <w:t xml:space="preserve"> </w:t>
      </w:r>
      <w:r>
        <w:t xml:space="preserve">TDD </w:t>
      </w:r>
      <w:r w:rsidR="00FD7175">
        <w:t>periods</w:t>
      </w:r>
      <w:r w:rsidR="004E6613">
        <w:t xml:space="preserve">. </w:t>
      </w:r>
    </w:p>
    <w:p w14:paraId="11575268" w14:textId="3C52CC7B" w:rsidR="00FD7175" w:rsidRDefault="00CD3EE2" w:rsidP="00FD7175">
      <w:r>
        <w:t xml:space="preserve">High spectral </w:t>
      </w:r>
      <w:r w:rsidR="005A0831">
        <w:t xml:space="preserve">and </w:t>
      </w:r>
      <w:r>
        <w:t>signalling e</w:t>
      </w:r>
      <w:r w:rsidR="009E4610">
        <w:t xml:space="preserve">fficiency has been </w:t>
      </w:r>
      <w:r>
        <w:t xml:space="preserve">a </w:t>
      </w:r>
      <w:r w:rsidR="009E4610">
        <w:t xml:space="preserve">key motivation for </w:t>
      </w:r>
      <w:r>
        <w:t>the</w:t>
      </w:r>
      <w:r w:rsidR="009E4610">
        <w:t xml:space="preserve"> introduction of SPS/CG </w:t>
      </w:r>
      <w:r w:rsidR="005A0831">
        <w:t>as they ha</w:t>
      </w:r>
      <w:r w:rsidR="00907EDA">
        <w:t>ve</w:t>
      </w:r>
      <w:r w:rsidR="005A0831">
        <w:t xml:space="preserve"> been considered to provide a good match for </w:t>
      </w:r>
      <w:r w:rsidR="00907EDA">
        <w:t>periodic</w:t>
      </w:r>
      <w:r w:rsidR="005A0831">
        <w:t xml:space="preserve"> traffic flows. </w:t>
      </w:r>
      <w:r w:rsidR="000C7C94">
        <w:t>However, this efficiency is challenged w</w:t>
      </w:r>
      <w:r w:rsidR="00E1450E">
        <w:t>hen</w:t>
      </w:r>
      <w:r w:rsidR="000C7C94">
        <w:t xml:space="preserve"> it comes to deterministic traffic flows which </w:t>
      </w:r>
      <w:r w:rsidR="00644730">
        <w:t>ha</w:t>
      </w:r>
      <w:r w:rsidR="00E1450E">
        <w:t>ve</w:t>
      </w:r>
      <w:r w:rsidR="00644730">
        <w:t xml:space="preserve"> </w:t>
      </w:r>
      <w:r w:rsidR="00462979">
        <w:t>periodicities which are not an integer multiple of a supported NR CG/SPS periodicity.</w:t>
      </w:r>
      <w:r w:rsidR="009E4610">
        <w:t xml:space="preserve"> </w:t>
      </w:r>
      <w:r w:rsidR="00643C7E">
        <w:t>This is further challenged with targeting a m</w:t>
      </w:r>
      <w:r w:rsidR="009E4610">
        <w:t xml:space="preserve">inimized misalignment </w:t>
      </w:r>
      <w:r w:rsidR="00643C7E">
        <w:t>which</w:t>
      </w:r>
      <w:r w:rsidR="009E4610">
        <w:t xml:space="preserve"> means that the waiting time i.e. </w:t>
      </w:r>
      <w:r w:rsidR="00204447">
        <w:t xml:space="preserve">peak alignment delay </w:t>
      </w:r>
      <w:r w:rsidR="009E4610">
        <w:t>of CG/SPS occur</w:t>
      </w:r>
      <w:r w:rsidR="00204447">
        <w:t>re</w:t>
      </w:r>
      <w:r w:rsidR="009E4610">
        <w:t xml:space="preserve">nce </w:t>
      </w:r>
      <w:r w:rsidR="00643C7E">
        <w:t>is</w:t>
      </w:r>
      <w:r w:rsidR="00204447">
        <w:t xml:space="preserve"> kept as low as possible. </w:t>
      </w:r>
      <w:r w:rsidR="00E53B84">
        <w:t xml:space="preserve">Currently agreed methods </w:t>
      </w:r>
      <w:r w:rsidR="005C38FD">
        <w:t>involve</w:t>
      </w:r>
      <w:r w:rsidR="00E53B84">
        <w:t xml:space="preserve"> using either a lower CG/SPS periodicity</w:t>
      </w:r>
      <w:r w:rsidR="00537DBB">
        <w:t xml:space="preserve">, or resorting to use multiple CG/SPS configurations for a single TSC flow. The implications of the former solution </w:t>
      </w:r>
      <w:r w:rsidR="00562B9D">
        <w:t>are</w:t>
      </w:r>
      <w:r w:rsidR="00FC3359">
        <w:t xml:space="preserve"> </w:t>
      </w:r>
      <w:r w:rsidR="005C38FD">
        <w:t>manageable</w:t>
      </w:r>
      <w:r w:rsidR="00FC3359">
        <w:t xml:space="preserve"> in UL as </w:t>
      </w:r>
      <w:r w:rsidR="005D1928">
        <w:t>the resource usage can be restricted by LCH restrictions, but in DL</w:t>
      </w:r>
      <w:r w:rsidR="00FF2120">
        <w:t xml:space="preserve"> the result is wasted radio resources and UE monitoring capabilities as </w:t>
      </w:r>
      <w:r w:rsidR="005D1928">
        <w:t xml:space="preserve">SPS </w:t>
      </w:r>
      <w:r w:rsidR="00FF2120">
        <w:t xml:space="preserve">PDSCH skipping and implicit HARQ-ACK NACK </w:t>
      </w:r>
      <w:r w:rsidR="005D1928">
        <w:t>is currently not supported</w:t>
      </w:r>
      <w:r w:rsidR="00FF2120">
        <w:t>.</w:t>
      </w:r>
      <w:r w:rsidR="005D1928">
        <w:t xml:space="preserve"> </w:t>
      </w:r>
      <w:r w:rsidR="00FF2120">
        <w:t>The implications from the latter solution is that the number of TSC flows which can be supported is limited.</w:t>
      </w:r>
      <w:r w:rsidR="00204447">
        <w:t xml:space="preserve"> </w:t>
      </w:r>
      <w:r w:rsidR="00030518">
        <w:t>S</w:t>
      </w:r>
      <w:r w:rsidR="00ED2392">
        <w:t xml:space="preserve">olution that does not have similar </w:t>
      </w:r>
      <w:r w:rsidR="00030518">
        <w:t xml:space="preserve">trade-off </w:t>
      </w:r>
      <w:r w:rsidR="00ED2392">
        <w:t xml:space="preserve">should be </w:t>
      </w:r>
      <w:r w:rsidR="006D7917">
        <w:t>investigated</w:t>
      </w:r>
      <w:r w:rsidR="00023D34">
        <w:t xml:space="preserve">. </w:t>
      </w:r>
    </w:p>
    <w:p w14:paraId="50B58BAC" w14:textId="13D65030" w:rsidR="00FD6C40" w:rsidRDefault="009D119F">
      <w:r w:rsidRPr="00E1450E">
        <w:rPr>
          <w:b/>
          <w:bCs/>
        </w:rPr>
        <w:t xml:space="preserve">Observation </w:t>
      </w:r>
      <w:r w:rsidR="00D8419E">
        <w:rPr>
          <w:b/>
          <w:bCs/>
        </w:rPr>
        <w:t>1</w:t>
      </w:r>
      <w:r>
        <w:t>:</w:t>
      </w:r>
      <w:r w:rsidR="00643740">
        <w:t xml:space="preserve"> The support of </w:t>
      </w:r>
      <w:r w:rsidR="00B85385">
        <w:t>arbitrary TSC periodicities with</w:t>
      </w:r>
      <w:r w:rsidR="00643740">
        <w:t xml:space="preserve"> the use of multiple CG/SPS configurations </w:t>
      </w:r>
      <w:r w:rsidR="001D659C">
        <w:t xml:space="preserve">or </w:t>
      </w:r>
      <w:r w:rsidR="0028541C">
        <w:t>using a lower</w:t>
      </w:r>
      <w:r w:rsidR="001D659C">
        <w:t xml:space="preserve"> SPS/CG periodicity </w:t>
      </w:r>
      <w:r w:rsidR="00A006AA">
        <w:t xml:space="preserve">either limits the number of TSC flows supported per UE or implies </w:t>
      </w:r>
      <w:r w:rsidR="00570757">
        <w:t>wasted monitoring</w:t>
      </w:r>
      <w:r w:rsidR="00E1450E">
        <w:t xml:space="preserve"> </w:t>
      </w:r>
      <w:r w:rsidR="00570757">
        <w:t>opportunities for the UE</w:t>
      </w:r>
      <w:r w:rsidR="009D7B5A">
        <w:t xml:space="preserve">. </w:t>
      </w:r>
      <w:r w:rsidR="00643740">
        <w:t xml:space="preserve"> </w:t>
      </w:r>
    </w:p>
    <w:p w14:paraId="12747737" w14:textId="014E763F" w:rsidR="00D21076" w:rsidRDefault="00D21076" w:rsidP="00D21076">
      <w:bookmarkStart w:id="2" w:name="_Hlk21022897"/>
      <w:bookmarkStart w:id="3" w:name="_Hlk19794208"/>
      <w:r>
        <w:rPr>
          <w:b/>
        </w:rPr>
        <w:t>Proposal</w:t>
      </w:r>
      <w:r w:rsidRPr="0030797F">
        <w:rPr>
          <w:b/>
        </w:rPr>
        <w:t xml:space="preserve"> </w:t>
      </w:r>
      <w:r w:rsidRPr="00E1450E">
        <w:rPr>
          <w:b/>
        </w:rPr>
        <w:t>1</w:t>
      </w:r>
      <w:r>
        <w:t xml:space="preserve">: </w:t>
      </w:r>
      <w:r w:rsidR="00E76FCF">
        <w:t>S</w:t>
      </w:r>
      <w:r>
        <w:t>olution</w:t>
      </w:r>
      <w:r w:rsidR="00E76FCF">
        <w:t>s</w:t>
      </w:r>
      <w:r w:rsidR="00B92D2C">
        <w:t xml:space="preserve"> capable of enhancing the system efficiency </w:t>
      </w:r>
      <w:r w:rsidR="00681B7E">
        <w:t>for</w:t>
      </w:r>
      <w:r>
        <w:t xml:space="preserve"> </w:t>
      </w:r>
      <w:r w:rsidR="00B92D2C">
        <w:t>serving</w:t>
      </w:r>
      <w:r w:rsidR="001D659C" w:rsidRPr="001D659C">
        <w:t xml:space="preserve"> </w:t>
      </w:r>
      <w:r w:rsidR="00A466B3">
        <w:t>wide</w:t>
      </w:r>
      <w:r w:rsidR="00681B7E">
        <w:t xml:space="preserve"> range of </w:t>
      </w:r>
      <w:r w:rsidR="001D659C" w:rsidRPr="001D659C">
        <w:t xml:space="preserve">arbitrary TSC periodicities </w:t>
      </w:r>
      <w:r w:rsidR="00562B9D">
        <w:t xml:space="preserve">with minimal alignment delay </w:t>
      </w:r>
      <w:r>
        <w:t xml:space="preserve">should be </w:t>
      </w:r>
      <w:r w:rsidR="00DE50B8">
        <w:t>investigated</w:t>
      </w:r>
      <w:r w:rsidR="001D659C">
        <w:t xml:space="preserve">. </w:t>
      </w:r>
    </w:p>
    <w:bookmarkEnd w:id="2"/>
    <w:bookmarkEnd w:id="3"/>
    <w:p w14:paraId="5BF38846" w14:textId="77777777" w:rsidR="004E3F05" w:rsidRDefault="00135951">
      <w:pPr>
        <w:pStyle w:val="Heading1"/>
      </w:pPr>
      <w:r>
        <w:t>3</w:t>
      </w:r>
      <w:r>
        <w:tab/>
        <w:t>Analysis for potential solutions</w:t>
      </w:r>
    </w:p>
    <w:p w14:paraId="6EDA9CB1" w14:textId="77777777" w:rsidR="004E3F05" w:rsidRDefault="00135951">
      <w:pPr>
        <w:pStyle w:val="Heading2"/>
        <w:rPr>
          <w:lang w:val="en-US"/>
        </w:rPr>
      </w:pPr>
      <w:r>
        <w:rPr>
          <w:lang w:val="en-US"/>
        </w:rPr>
        <w:t>3.1</w:t>
      </w:r>
      <w:r>
        <w:rPr>
          <w:lang w:val="en-US"/>
        </w:rPr>
        <w:tab/>
        <w:t>Categorizing potential solutions</w:t>
      </w:r>
    </w:p>
    <w:p w14:paraId="53BA265D" w14:textId="1CEFF312" w:rsidR="004E3F05" w:rsidRDefault="00135951">
      <w:pPr>
        <w:rPr>
          <w:lang w:val="en-US"/>
        </w:rPr>
      </w:pPr>
      <w:r>
        <w:t>Multiple solutions to efficiently handle TSC message periodicities with non-integer multiples of NR supported CG/SPS</w:t>
      </w:r>
      <w:r w:rsidR="00A459F0">
        <w:t xml:space="preserve"> or TDD</w:t>
      </w:r>
      <w:r>
        <w:t xml:space="preserve"> periodicities have already been put on the table, for example in [4,5,6,7,8,9]. </w:t>
      </w:r>
      <w:r>
        <w:rPr>
          <w:lang w:val="en-US"/>
        </w:rPr>
        <w:t xml:space="preserve">The proposed solutions can be grouped into </w:t>
      </w:r>
      <w:r w:rsidR="00234835">
        <w:rPr>
          <w:lang w:val="en-US"/>
        </w:rPr>
        <w:t>three</w:t>
      </w:r>
      <w:r>
        <w:rPr>
          <w:lang w:val="en-US"/>
        </w:rPr>
        <w:t xml:space="preserve"> categories:</w:t>
      </w:r>
    </w:p>
    <w:p w14:paraId="275EA590" w14:textId="6DCD729B" w:rsidR="004E3F05" w:rsidRDefault="00135951">
      <w:pPr>
        <w:pStyle w:val="ListParagraph"/>
        <w:numPr>
          <w:ilvl w:val="0"/>
          <w:numId w:val="5"/>
        </w:numPr>
        <w:rPr>
          <w:lang w:val="en-US"/>
        </w:rPr>
      </w:pPr>
      <w:r>
        <w:rPr>
          <w:lang w:val="en-US"/>
        </w:rPr>
        <w:t xml:space="preserve">Solutions based on </w:t>
      </w:r>
      <w:r w:rsidR="00B6299E">
        <w:rPr>
          <w:lang w:val="en-US"/>
        </w:rPr>
        <w:t xml:space="preserve">cyclic </w:t>
      </w:r>
      <w:r>
        <w:rPr>
          <w:lang w:val="en-US"/>
        </w:rPr>
        <w:t xml:space="preserve">shifting of CG/SPS </w:t>
      </w:r>
      <w:r w:rsidR="00A459F0">
        <w:rPr>
          <w:lang w:val="en-US"/>
        </w:rPr>
        <w:t>configuration</w:t>
      </w:r>
      <w:r w:rsidR="00B6299E">
        <w:rPr>
          <w:lang w:val="en-US"/>
        </w:rPr>
        <w:t>.</w:t>
      </w:r>
      <w:r w:rsidR="00A459F0">
        <w:rPr>
          <w:lang w:val="en-US"/>
        </w:rPr>
        <w:t xml:space="preserve"> </w:t>
      </w:r>
    </w:p>
    <w:p w14:paraId="2ACFA94E" w14:textId="7DB2A123" w:rsidR="00A459F0" w:rsidRPr="00E1450E" w:rsidRDefault="00135951">
      <w:pPr>
        <w:pStyle w:val="ListParagraph"/>
        <w:numPr>
          <w:ilvl w:val="0"/>
          <w:numId w:val="5"/>
        </w:numPr>
      </w:pPr>
      <w:r>
        <w:rPr>
          <w:lang w:val="en-US"/>
        </w:rPr>
        <w:t>Solutions based on selecting appropriate resources from CG/SPS configuration</w:t>
      </w:r>
      <w:r w:rsidR="00B6299E">
        <w:rPr>
          <w:lang w:val="en-US"/>
        </w:rPr>
        <w:t>.</w:t>
      </w:r>
    </w:p>
    <w:p w14:paraId="7E077FA5" w14:textId="48DCAD3B" w:rsidR="000435A2" w:rsidRPr="00E1450E" w:rsidRDefault="00A459F0" w:rsidP="000435A2">
      <w:pPr>
        <w:pStyle w:val="ListParagraph"/>
        <w:numPr>
          <w:ilvl w:val="0"/>
          <w:numId w:val="5"/>
        </w:numPr>
      </w:pPr>
      <w:r>
        <w:rPr>
          <w:lang w:val="en-US"/>
        </w:rPr>
        <w:t>Solution</w:t>
      </w:r>
      <w:r w:rsidR="005B39D3">
        <w:rPr>
          <w:lang w:val="en-US"/>
        </w:rPr>
        <w:t>s based on</w:t>
      </w:r>
      <w:r>
        <w:rPr>
          <w:lang w:val="en-US"/>
        </w:rPr>
        <w:t xml:space="preserve"> multiple CG/SPS configurations</w:t>
      </w:r>
      <w:r w:rsidR="00B6299E">
        <w:rPr>
          <w:lang w:val="en-US"/>
        </w:rPr>
        <w:t>.</w:t>
      </w:r>
    </w:p>
    <w:p w14:paraId="7493A929" w14:textId="77777777" w:rsidR="004E3F05" w:rsidRPr="00E1450E" w:rsidRDefault="00135951" w:rsidP="00DA2190">
      <w:pPr>
        <w:pStyle w:val="Heading3"/>
      </w:pPr>
      <w:r w:rsidRPr="00E1450E">
        <w:lastRenderedPageBreak/>
        <w:t>3.1.1 Solutions based on shifting of SPS/CG resource</w:t>
      </w:r>
    </w:p>
    <w:p w14:paraId="5FCD7783" w14:textId="68C61F45" w:rsidR="004E3F05" w:rsidRDefault="00135951">
      <w:r>
        <w:t xml:space="preserve">Solutions in Category A are based on shifting i.e. advancing or delaying [8, 9] of CG/SPS resource to meet with the arbitrary TSC service </w:t>
      </w:r>
      <w:r>
        <w:t>periodicity</w:t>
      </w:r>
      <w:r w:rsidR="00777E34">
        <w:t>.</w:t>
      </w:r>
      <w:r>
        <w:t xml:space="preserve"> Difference in proposed concepts [8] and [9] is that the latter exploits shifting pattern (M/N) to better meet with different arbitrary periodicities</w:t>
      </w:r>
      <w:r w:rsidR="00054D7D">
        <w:t xml:space="preserve"> while</w:t>
      </w:r>
      <w:r>
        <w:t xml:space="preserve"> the former has limited flexibility to support arbitrary periodicities with a shift at every N occurrence (1/N). In this document these two proposals are merged, since [8] is seen as a subset of [9]. This option is described in further details in the following subsection.</w:t>
      </w:r>
    </w:p>
    <w:p w14:paraId="686ED2E6" w14:textId="0D9D77EA" w:rsidR="004E3F05" w:rsidRDefault="00135951">
      <w:pPr>
        <w:pStyle w:val="Heading4"/>
      </w:pPr>
      <w:r>
        <w:t xml:space="preserve">3.1.1.1 Cyclic SPS/CG shifting </w:t>
      </w:r>
    </w:p>
    <w:p w14:paraId="7E9DBA7C" w14:textId="697E9E88" w:rsidR="004E3F05" w:rsidRDefault="00135951">
      <w:pPr>
        <w:tabs>
          <w:tab w:val="left" w:pos="720"/>
        </w:tabs>
        <w:rPr>
          <w:lang w:val="en-US"/>
        </w:rPr>
      </w:pPr>
      <w:r>
        <w:t xml:space="preserve">This paragraph gives an exemplary overview for </w:t>
      </w:r>
      <w:r w:rsidR="00DF45DE">
        <w:t xml:space="preserve">a </w:t>
      </w:r>
      <w:r>
        <w:t xml:space="preserve">possible SPS/CG shifting </w:t>
      </w:r>
      <w:r w:rsidR="00054D7D">
        <w:t>rule</w:t>
      </w:r>
      <w:r w:rsidR="00A6715C">
        <w:t xml:space="preserve"> </w:t>
      </w:r>
      <w:r>
        <w:t xml:space="preserve">with a cyclic shifting </w:t>
      </w:r>
      <w:r>
        <w:rPr>
          <w:lang w:val="en-US"/>
        </w:rPr>
        <w:t xml:space="preserve">pattern to match with arbitrary periodicity </w:t>
      </w:r>
      <w:r w:rsidR="00953726">
        <w:rPr>
          <w:lang w:val="en-US"/>
        </w:rPr>
        <w:t xml:space="preserve">for TSC </w:t>
      </w:r>
      <w:r>
        <w:rPr>
          <w:lang w:val="en-US"/>
        </w:rPr>
        <w:t xml:space="preserve">with </w:t>
      </w:r>
      <w:r w:rsidR="00DF45DE">
        <w:rPr>
          <w:lang w:val="en-US"/>
        </w:rPr>
        <w:t xml:space="preserve">minimal </w:t>
      </w:r>
      <w:r>
        <w:rPr>
          <w:lang w:val="en-US"/>
        </w:rPr>
        <w:t>alignment delay</w:t>
      </w:r>
      <w:r w:rsidR="008C2DF3">
        <w:rPr>
          <w:lang w:val="en-US"/>
        </w:rPr>
        <w:t xml:space="preserve"> (</w:t>
      </w:r>
      <w:r w:rsidR="00DD5757">
        <w:rPr>
          <w:lang w:val="en-US"/>
        </w:rPr>
        <w:t>the delay from the TSC</w:t>
      </w:r>
      <w:r w:rsidR="008C2DF3">
        <w:rPr>
          <w:lang w:val="en-US"/>
        </w:rPr>
        <w:t xml:space="preserve"> traffic flow arrival to the RAN, until it is served in the RAN)</w:t>
      </w:r>
      <w:r>
        <w:rPr>
          <w:lang w:val="en-US"/>
        </w:rPr>
        <w:t xml:space="preserve">. </w:t>
      </w:r>
      <w:r w:rsidR="0089473A">
        <w:rPr>
          <w:lang w:val="en-US"/>
        </w:rPr>
        <w:t>The</w:t>
      </w:r>
      <w:r w:rsidR="004E2DEB">
        <w:rPr>
          <w:lang w:val="en-US"/>
        </w:rPr>
        <w:t xml:space="preserve"> r</w:t>
      </w:r>
      <w:r w:rsidR="00953726">
        <w:rPr>
          <w:lang w:val="en-US"/>
        </w:rPr>
        <w:t>ealization</w:t>
      </w:r>
      <w:r w:rsidR="00536181">
        <w:rPr>
          <w:lang w:val="en-US"/>
        </w:rPr>
        <w:t>s</w:t>
      </w:r>
      <w:r w:rsidR="00953726">
        <w:rPr>
          <w:lang w:val="en-US"/>
        </w:rPr>
        <w:t xml:space="preserve"> of arbitrary </w:t>
      </w:r>
      <w:r w:rsidR="00FE0B6F">
        <w:rPr>
          <w:i/>
          <w:lang w:val="en-US"/>
        </w:rPr>
        <w:t xml:space="preserve">TSC </w:t>
      </w:r>
      <w:r w:rsidR="00807FAD">
        <w:rPr>
          <w:i/>
          <w:lang w:val="en-US"/>
        </w:rPr>
        <w:t>periodicity</w:t>
      </w:r>
      <w:r w:rsidR="00807FAD">
        <w:rPr>
          <w:lang w:val="en-US"/>
        </w:rPr>
        <w:t xml:space="preserve"> in </w:t>
      </w:r>
      <w:r w:rsidR="0089473A">
        <w:rPr>
          <w:lang w:val="en-US"/>
        </w:rPr>
        <w:t>the</w:t>
      </w:r>
      <w:r w:rsidR="00807FAD">
        <w:rPr>
          <w:lang w:val="en-US"/>
        </w:rPr>
        <w:t xml:space="preserve"> </w:t>
      </w:r>
      <w:r w:rsidR="00BF3F19">
        <w:rPr>
          <w:lang w:val="en-US"/>
        </w:rPr>
        <w:t xml:space="preserve">examples </w:t>
      </w:r>
      <w:r w:rsidR="00953726">
        <w:rPr>
          <w:lang w:val="en-US"/>
        </w:rPr>
        <w:t>applies</w:t>
      </w:r>
      <w:r w:rsidR="00807FAD">
        <w:rPr>
          <w:lang w:val="en-US"/>
        </w:rPr>
        <w:t xml:space="preserve"> </w:t>
      </w:r>
      <w:r>
        <w:rPr>
          <w:lang w:val="en-US"/>
        </w:rPr>
        <w:t>Rel</w:t>
      </w:r>
      <w:r w:rsidR="007F54CA">
        <w:rPr>
          <w:lang w:val="en-US"/>
        </w:rPr>
        <w:t>-</w:t>
      </w:r>
      <w:r>
        <w:rPr>
          <w:lang w:val="en-US"/>
        </w:rPr>
        <w:t>15 SPS/CG periodicities</w:t>
      </w:r>
      <w:r w:rsidR="00BF3F19">
        <w:rPr>
          <w:lang w:val="en-US"/>
        </w:rPr>
        <w:t>,</w:t>
      </w:r>
      <w:r w:rsidR="00BF3F19" w:rsidRPr="00BF3F19">
        <w:rPr>
          <w:lang w:val="en-US"/>
        </w:rPr>
        <w:t xml:space="preserve"> </w:t>
      </w:r>
      <w:r w:rsidR="00BF3F19">
        <w:rPr>
          <w:lang w:val="en-US"/>
        </w:rPr>
        <w:t>but also possible new SPS/CG periodicities e.g., as integer multiple</w:t>
      </w:r>
      <w:r w:rsidR="001363CB">
        <w:rPr>
          <w:lang w:val="en-US"/>
        </w:rPr>
        <w:t>s</w:t>
      </w:r>
      <w:r w:rsidR="00BF3F19">
        <w:rPr>
          <w:lang w:val="en-US"/>
        </w:rPr>
        <w:t xml:space="preserve"> of</w:t>
      </w:r>
      <w:r w:rsidR="001363CB">
        <w:rPr>
          <w:lang w:val="en-US"/>
        </w:rPr>
        <w:t xml:space="preserve"> a</w:t>
      </w:r>
      <w:r w:rsidR="00BF3F19">
        <w:rPr>
          <w:lang w:val="en-US"/>
        </w:rPr>
        <w:t xml:space="preserve"> symbol period [11]</w:t>
      </w:r>
      <w:r>
        <w:rPr>
          <w:lang w:val="en-US"/>
        </w:rPr>
        <w:t>.</w:t>
      </w:r>
      <w:r w:rsidR="004655C5" w:rsidRPr="004655C5">
        <w:t xml:space="preserve"> </w:t>
      </w:r>
      <w:r w:rsidR="000435A2">
        <w:t>Arbitrary</w:t>
      </w:r>
      <w:r w:rsidR="004655C5">
        <w:t xml:space="preserve"> </w:t>
      </w:r>
      <w:r w:rsidR="004655C5" w:rsidRPr="004655C5">
        <w:rPr>
          <w:lang w:val="en-US"/>
        </w:rPr>
        <w:t>periodicities of A) 104</w:t>
      </w:r>
      <w:r w:rsidR="00BC53B3">
        <w:rPr>
          <w:lang w:val="en-US"/>
        </w:rPr>
        <w:t xml:space="preserve"> </w:t>
      </w:r>
      <w:r w:rsidR="004655C5" w:rsidRPr="004655C5">
        <w:rPr>
          <w:lang w:val="en-US"/>
        </w:rPr>
        <w:t>Hz and B) 13</w:t>
      </w:r>
      <w:r w:rsidR="004655C5" w:rsidRPr="004655C5" w:rsidDel="00C24BE1">
        <w:rPr>
          <w:lang w:val="en-US"/>
        </w:rPr>
        <w:t xml:space="preserve"> </w:t>
      </w:r>
      <w:proofErr w:type="spellStart"/>
      <w:r w:rsidR="004655C5" w:rsidRPr="004655C5">
        <w:rPr>
          <w:lang w:val="en-US"/>
        </w:rPr>
        <w:t>ms</w:t>
      </w:r>
      <w:proofErr w:type="spellEnd"/>
      <w:r w:rsidR="004655C5" w:rsidRPr="004655C5">
        <w:rPr>
          <w:lang w:val="en-US"/>
        </w:rPr>
        <w:t xml:space="preserve"> are used as examples</w:t>
      </w:r>
      <w:r w:rsidR="004655C5">
        <w:rPr>
          <w:lang w:val="en-US"/>
        </w:rPr>
        <w:t xml:space="preserve"> </w:t>
      </w:r>
      <w:r w:rsidR="00F231FF">
        <w:rPr>
          <w:lang w:val="en-US"/>
        </w:rPr>
        <w:t>of</w:t>
      </w:r>
      <w:r w:rsidR="004655C5">
        <w:rPr>
          <w:lang w:val="en-US"/>
        </w:rPr>
        <w:t xml:space="preserve"> non-integer and integer multiple of SPS/CG periodicities, respectively</w:t>
      </w:r>
      <w:r w:rsidR="004655C5" w:rsidRPr="004655C5">
        <w:rPr>
          <w:lang w:val="en-US"/>
        </w:rPr>
        <w:t>.</w:t>
      </w:r>
      <w:r>
        <w:rPr>
          <w:lang w:val="en-US"/>
        </w:rPr>
        <w:t xml:space="preserve"> </w:t>
      </w:r>
      <w:r w:rsidR="000435A2">
        <w:rPr>
          <w:lang w:val="en-US"/>
        </w:rPr>
        <w:t>In</w:t>
      </w:r>
      <w:r w:rsidR="001363CB">
        <w:rPr>
          <w:lang w:val="en-US"/>
        </w:rPr>
        <w:t xml:space="preserve"> the</w:t>
      </w:r>
      <w:r w:rsidR="000435A2">
        <w:rPr>
          <w:lang w:val="en-US"/>
        </w:rPr>
        <w:t xml:space="preserve"> examples</w:t>
      </w:r>
      <w:r w:rsidR="001363CB">
        <w:rPr>
          <w:lang w:val="en-US"/>
        </w:rPr>
        <w:t>,</w:t>
      </w:r>
      <w:r w:rsidR="000435A2">
        <w:rPr>
          <w:lang w:val="en-US"/>
        </w:rPr>
        <w:t xml:space="preserve"> arbitrary values are chosen for </w:t>
      </w:r>
      <w:r w:rsidR="00807FAD">
        <w:rPr>
          <w:lang w:val="en-US"/>
        </w:rPr>
        <w:t xml:space="preserve">SCS and TDD period </w:t>
      </w:r>
      <w:r w:rsidR="00BF3F19">
        <w:rPr>
          <w:lang w:val="en-US"/>
        </w:rPr>
        <w:t>of</w:t>
      </w:r>
      <w:r w:rsidR="0031176C">
        <w:rPr>
          <w:lang w:val="en-US"/>
        </w:rPr>
        <w:t xml:space="preserve"> 120kHz and </w:t>
      </w:r>
      <w:r w:rsidR="00807FAD">
        <w:rPr>
          <w:lang w:val="en-US"/>
        </w:rPr>
        <w:t>0.5ms</w:t>
      </w:r>
      <w:r w:rsidR="0031176C">
        <w:rPr>
          <w:lang w:val="en-US"/>
        </w:rPr>
        <w:t>, respectively</w:t>
      </w:r>
      <w:r w:rsidR="00807FAD">
        <w:rPr>
          <w:lang w:val="en-US"/>
        </w:rPr>
        <w:t xml:space="preserve">. </w:t>
      </w:r>
      <w:r>
        <w:rPr>
          <w:lang w:val="en-US"/>
        </w:rPr>
        <w:t xml:space="preserve">The rule includes the following: </w:t>
      </w:r>
    </w:p>
    <w:p w14:paraId="04082DB2" w14:textId="42329741" w:rsidR="004E3F05" w:rsidRDefault="00135951">
      <w:pPr>
        <w:numPr>
          <w:ilvl w:val="0"/>
          <w:numId w:val="6"/>
        </w:numPr>
        <w:tabs>
          <w:tab w:val="left" w:pos="1440"/>
        </w:tabs>
        <w:rPr>
          <w:lang w:val="en-US"/>
        </w:rPr>
      </w:pPr>
      <w:r>
        <w:rPr>
          <w:lang w:val="en-US"/>
        </w:rPr>
        <w:t xml:space="preserve">In case of TDD only, supported periodicities are further restricted to integer multiple of </w:t>
      </w:r>
      <w:r>
        <w:rPr>
          <w:i/>
          <w:iCs/>
          <w:lang w:val="en-US"/>
        </w:rPr>
        <w:t>ul-DL-</w:t>
      </w:r>
      <w:proofErr w:type="spellStart"/>
      <w:r>
        <w:rPr>
          <w:i/>
          <w:iCs/>
          <w:lang w:val="en-US"/>
        </w:rPr>
        <w:t>TransmissionPeriodicity</w:t>
      </w:r>
      <w:proofErr w:type="spellEnd"/>
      <w:r>
        <w:rPr>
          <w:i/>
          <w:iCs/>
          <w:lang w:val="en-US"/>
        </w:rPr>
        <w:t xml:space="preserve"> </w:t>
      </w:r>
      <w:r>
        <w:rPr>
          <w:iCs/>
          <w:lang w:val="en-US"/>
        </w:rPr>
        <w:t>e.g., 0.5ms</w:t>
      </w:r>
      <w:r>
        <w:rPr>
          <w:i/>
          <w:iCs/>
          <w:lang w:val="en-US"/>
        </w:rPr>
        <w:t xml:space="preserve"> </w:t>
      </w:r>
      <w:r>
        <w:rPr>
          <w:lang w:val="en-US"/>
        </w:rPr>
        <w:t xml:space="preserve">to avoid UL/DL issues. </w:t>
      </w:r>
    </w:p>
    <w:p w14:paraId="48CDC8E0" w14:textId="182C190C" w:rsidR="004E3F05" w:rsidRDefault="00135951">
      <w:pPr>
        <w:numPr>
          <w:ilvl w:val="0"/>
          <w:numId w:val="6"/>
        </w:numPr>
        <w:tabs>
          <w:tab w:val="left" w:pos="1440"/>
        </w:tabs>
        <w:rPr>
          <w:lang w:val="en-US"/>
        </w:rPr>
      </w:pPr>
      <w:r>
        <w:rPr>
          <w:lang w:val="en-US"/>
        </w:rPr>
        <w:t xml:space="preserve">Slot boundary violation issues </w:t>
      </w:r>
      <w:r w:rsidR="002656EF">
        <w:rPr>
          <w:lang w:val="en-US"/>
        </w:rPr>
        <w:t xml:space="preserve">can be avoided by avoiding shifting with sub slot periods. </w:t>
      </w:r>
    </w:p>
    <w:p w14:paraId="19A01098" w14:textId="7BA77DDA" w:rsidR="004E3F05" w:rsidRDefault="00135951">
      <w:pPr>
        <w:numPr>
          <w:ilvl w:val="0"/>
          <w:numId w:val="6"/>
        </w:numPr>
        <w:tabs>
          <w:tab w:val="left" w:pos="1440"/>
        </w:tabs>
        <w:rPr>
          <w:lang w:val="en-US"/>
        </w:rPr>
      </w:pPr>
      <w:r w:rsidRPr="00173AE6">
        <w:rPr>
          <w:lang w:val="en-US"/>
        </w:rPr>
        <w:t>Basic SPS/CG</w:t>
      </w:r>
      <w:r>
        <w:rPr>
          <w:i/>
          <w:lang w:val="en-US"/>
        </w:rPr>
        <w:t xml:space="preserve"> periodicity</w:t>
      </w:r>
      <w:r>
        <w:rPr>
          <w:lang w:val="en-US"/>
        </w:rPr>
        <w:t xml:space="preserve"> is the nearest supported periodicity related to the </w:t>
      </w:r>
      <w:r w:rsidR="006A3BFC" w:rsidRPr="00173AE6">
        <w:rPr>
          <w:i/>
          <w:lang w:val="en-US"/>
        </w:rPr>
        <w:t>Arbitrary</w:t>
      </w:r>
      <w:r>
        <w:rPr>
          <w:i/>
          <w:lang w:val="en-US"/>
        </w:rPr>
        <w:t xml:space="preserve"> </w:t>
      </w:r>
      <w:r w:rsidR="006A3BFC">
        <w:rPr>
          <w:i/>
          <w:lang w:val="en-US"/>
        </w:rPr>
        <w:t>Periodicity</w:t>
      </w:r>
      <w:r w:rsidR="00B7277C" w:rsidRPr="00173AE6">
        <w:rPr>
          <w:lang w:val="en-US"/>
        </w:rPr>
        <w:t xml:space="preserve">, </w:t>
      </w:r>
      <w:r w:rsidR="00B7277C">
        <w:rPr>
          <w:lang w:val="en-US"/>
        </w:rPr>
        <w:t xml:space="preserve">as seen in </w:t>
      </w:r>
      <w:r w:rsidR="00B7277C" w:rsidRPr="00173AE6">
        <w:rPr>
          <w:lang w:val="en-US"/>
        </w:rPr>
        <w:t>formula below</w:t>
      </w:r>
      <w:r>
        <w:rPr>
          <w:lang w:val="en-US"/>
        </w:rPr>
        <w:t xml:space="preserve">. E.g. if TSC periodicity </w:t>
      </w:r>
      <w:r w:rsidR="004655C5">
        <w:rPr>
          <w:lang w:val="en-US"/>
        </w:rPr>
        <w:t xml:space="preserve">is </w:t>
      </w:r>
      <w:r>
        <w:rPr>
          <w:lang w:val="en-US"/>
        </w:rPr>
        <w:t>104</w:t>
      </w:r>
      <w:r w:rsidDel="00C24BE1">
        <w:rPr>
          <w:lang w:val="en-US"/>
        </w:rPr>
        <w:t xml:space="preserve"> </w:t>
      </w:r>
      <w:r>
        <w:rPr>
          <w:lang w:val="en-US"/>
        </w:rPr>
        <w:t>Hz</w:t>
      </w:r>
      <w:r w:rsidR="00AE58FF">
        <w:rPr>
          <w:lang w:val="en-US"/>
        </w:rPr>
        <w:t xml:space="preserve"> or 13</w:t>
      </w:r>
      <w:r w:rsidR="00BC53B3">
        <w:rPr>
          <w:lang w:val="en-US"/>
        </w:rPr>
        <w:t xml:space="preserve"> </w:t>
      </w:r>
      <w:proofErr w:type="spellStart"/>
      <w:r w:rsidR="00AE58FF">
        <w:rPr>
          <w:lang w:val="en-US"/>
        </w:rPr>
        <w:t>ms</w:t>
      </w:r>
      <w:proofErr w:type="spellEnd"/>
      <w:r>
        <w:rPr>
          <w:lang w:val="en-US"/>
        </w:rPr>
        <w:t xml:space="preserve">, then the </w:t>
      </w:r>
      <w:r w:rsidRPr="00173AE6">
        <w:rPr>
          <w:i/>
          <w:lang w:val="en-US"/>
        </w:rPr>
        <w:t>periodicity</w:t>
      </w:r>
      <w:r>
        <w:rPr>
          <w:lang w:val="en-US"/>
        </w:rPr>
        <w:t xml:space="preserve"> </w:t>
      </w:r>
      <w:r w:rsidR="004655C5">
        <w:rPr>
          <w:lang w:val="en-US"/>
        </w:rPr>
        <w:t xml:space="preserve">is </w:t>
      </w:r>
      <w:r>
        <w:rPr>
          <w:lang w:val="en-US"/>
        </w:rPr>
        <w:t>10ms</w:t>
      </w:r>
      <w:r w:rsidR="00AE58FF">
        <w:rPr>
          <w:lang w:val="en-US"/>
        </w:rPr>
        <w:t xml:space="preserve"> for both examples</w:t>
      </w:r>
      <w:r>
        <w:rPr>
          <w:lang w:val="en-US"/>
        </w:rPr>
        <w:t xml:space="preserve">.  </w:t>
      </w:r>
    </w:p>
    <w:p w14:paraId="6BB93859" w14:textId="52973FC4" w:rsidR="00002D20" w:rsidRPr="00AC29AA" w:rsidRDefault="00002D20" w:rsidP="00AC29AA">
      <w:pPr>
        <w:pStyle w:val="EQ"/>
        <w:rPr>
          <w:rFonts w:ascii="Cambria Math" w:hAnsi="Cambria Math"/>
          <w:oMath/>
        </w:rPr>
      </w:pPr>
      <m:oMathPara>
        <m:oMath>
          <m:r>
            <w:rPr>
              <w:rFonts w:ascii="Cambria Math" w:hAnsi="Cambria Math"/>
            </w:rPr>
            <m:t>Periodicity</m:t>
          </m:r>
          <m:r>
            <m:rPr>
              <m:sty m:val="p"/>
            </m:rPr>
            <w:rPr>
              <w:rFonts w:ascii="Cambria Math" w:hAnsi="Cambria Math"/>
            </w:rPr>
            <m:t xml:space="preserve"> =Periodicity(</m:t>
          </m:r>
          <m:func>
            <m:funcPr>
              <m:ctrlPr>
                <w:rPr>
                  <w:rFonts w:ascii="Cambria Math" w:hAnsi="Cambria Math"/>
                </w:rPr>
              </m:ctrlPr>
            </m:funcPr>
            <m:fName>
              <m:r>
                <m:rPr>
                  <m:sty m:val="p"/>
                </m:rPr>
                <w:rPr>
                  <w:rFonts w:ascii="Cambria Math" w:hAnsi="Cambria Math"/>
                </w:rPr>
                <m:t>arg</m:t>
              </m:r>
            </m:fName>
            <m:e>
              <m:r>
                <w:rPr>
                  <w:rFonts w:ascii="Cambria Math" w:hAnsi="Cambria Math"/>
                </w:rPr>
                <m:t>min</m:t>
              </m:r>
            </m:e>
          </m:func>
          <m:r>
            <m:rPr>
              <m:sty m:val="p"/>
            </m:rPr>
            <w:rPr>
              <w:rFonts w:ascii="Cambria Math" w:hAnsi="Cambria Math"/>
            </w:rPr>
            <m:t>(|</m:t>
          </m:r>
          <m:sSub>
            <m:sSubPr>
              <m:ctrlPr>
                <w:rPr>
                  <w:rFonts w:ascii="Cambria Math" w:hAnsi="Cambria Math"/>
                </w:rPr>
              </m:ctrlPr>
            </m:sSubPr>
            <m:e>
              <m:r>
                <w:rPr>
                  <w:rFonts w:ascii="Cambria Math" w:hAnsi="Cambria Math"/>
                </w:rPr>
                <m:t>Periodicity</m:t>
              </m:r>
            </m:e>
            <m:sub>
              <m:r>
                <w:rPr>
                  <w:rFonts w:ascii="Cambria Math" w:hAnsi="Cambria Math"/>
                </w:rPr>
                <m:t>x</m:t>
              </m:r>
            </m:sub>
          </m:sSub>
          <m:r>
            <m:rPr>
              <m:sty m:val="p"/>
            </m:rPr>
            <w:rPr>
              <w:rFonts w:ascii="Cambria Math" w:hAnsi="Cambria Math"/>
            </w:rPr>
            <m:t>-</m:t>
          </m:r>
          <m:r>
            <w:rPr>
              <w:rFonts w:ascii="Cambria Math" w:hAnsi="Cambria Math"/>
            </w:rPr>
            <m:t>ArbitraryPeriodicity</m:t>
          </m:r>
          <m:r>
            <m:rPr>
              <m:sty m:val="p"/>
            </m:rPr>
            <w:rPr>
              <w:rFonts w:ascii="Cambria Math" w:hAnsi="Cambria Math"/>
            </w:rPr>
            <m:t xml:space="preserve">|)) </m:t>
          </m:r>
        </m:oMath>
      </m:oMathPara>
    </w:p>
    <w:p w14:paraId="2CA95B2E" w14:textId="0BBF1467" w:rsidR="004E3F05" w:rsidRPr="00173AE6" w:rsidRDefault="00135951">
      <w:pPr>
        <w:numPr>
          <w:ilvl w:val="0"/>
          <w:numId w:val="6"/>
        </w:numPr>
        <w:tabs>
          <w:tab w:val="left" w:pos="1440"/>
        </w:tabs>
      </w:pPr>
      <w:r>
        <w:rPr>
          <w:i/>
          <w:lang w:val="en-US"/>
        </w:rPr>
        <w:t>Shifting step</w:t>
      </w:r>
      <w:r>
        <w:rPr>
          <w:lang w:val="en-US"/>
        </w:rPr>
        <w:t xml:space="preserve"> is </w:t>
      </w:r>
      <w:r w:rsidR="00AE639B">
        <w:rPr>
          <w:lang w:val="en-US"/>
        </w:rPr>
        <w:t xml:space="preserve">searched among supported </w:t>
      </w:r>
      <w:r w:rsidR="00B816B6">
        <w:rPr>
          <w:lang w:val="en-US"/>
        </w:rPr>
        <w:t xml:space="preserve">CG/SPS periodicities </w:t>
      </w:r>
      <w:r w:rsidR="00DC0A78">
        <w:rPr>
          <w:lang w:val="en-US"/>
        </w:rPr>
        <w:t>(</w:t>
      </w:r>
      <w:r w:rsidR="00B816B6">
        <w:rPr>
          <w:lang w:val="en-US"/>
        </w:rPr>
        <w:t>that are in case of TDD integer multiple of TDD period</w:t>
      </w:r>
      <w:r w:rsidR="00DC0A78">
        <w:rPr>
          <w:lang w:val="en-US"/>
        </w:rPr>
        <w:t>)</w:t>
      </w:r>
      <w:r w:rsidR="00B816B6">
        <w:rPr>
          <w:lang w:val="en-US"/>
        </w:rPr>
        <w:t xml:space="preserve"> and polarity is determined according to formulas below:</w:t>
      </w:r>
      <w:r>
        <w:rPr>
          <w:lang w:val="en-US"/>
        </w:rPr>
        <w:t xml:space="preserve"> E.g., shifting step </w:t>
      </w:r>
      <w:r w:rsidR="004655C5">
        <w:rPr>
          <w:lang w:val="en-US"/>
        </w:rPr>
        <w:t xml:space="preserve">is </w:t>
      </w:r>
      <w:r>
        <w:rPr>
          <w:lang w:val="en-US"/>
        </w:rPr>
        <w:t>-0.5ms</w:t>
      </w:r>
      <w:r w:rsidR="00173AE6">
        <w:rPr>
          <w:lang w:val="en-US"/>
        </w:rPr>
        <w:t xml:space="preserve"> </w:t>
      </w:r>
      <w:r w:rsidR="00AE58FF">
        <w:rPr>
          <w:lang w:val="en-US"/>
        </w:rPr>
        <w:t>and +</w:t>
      </w:r>
      <w:r w:rsidR="007E1D6A">
        <w:rPr>
          <w:lang w:val="en-US"/>
        </w:rPr>
        <w:t>5</w:t>
      </w:r>
      <w:r w:rsidR="00AE58FF">
        <w:rPr>
          <w:lang w:val="en-US"/>
        </w:rPr>
        <w:t>ms for examples A and B</w:t>
      </w:r>
      <w:r w:rsidR="004655C5">
        <w:rPr>
          <w:lang w:val="en-US"/>
        </w:rPr>
        <w:t>,</w:t>
      </w:r>
      <w:r w:rsidR="00AE58FF">
        <w:rPr>
          <w:lang w:val="en-US"/>
        </w:rPr>
        <w:t xml:space="preserve"> respectively</w:t>
      </w:r>
      <w:r w:rsidR="00C24BE1">
        <w:rPr>
          <w:lang w:val="en-US"/>
        </w:rPr>
        <w:t>.</w:t>
      </w:r>
      <w:r>
        <w:rPr>
          <w:lang w:val="en-US"/>
        </w:rPr>
        <w:t xml:space="preserve">   </w:t>
      </w:r>
    </w:p>
    <w:p w14:paraId="47C1892F" w14:textId="5C79BFE0" w:rsidR="00002D20" w:rsidRPr="00AC29AA" w:rsidRDefault="00002D20" w:rsidP="00AC29AA">
      <w:pPr>
        <w:pStyle w:val="EQ"/>
        <w:rPr>
          <w:rFonts w:ascii="Cambria Math" w:hAnsi="Cambria Math"/>
          <w:oMath/>
        </w:rPr>
      </w:pPr>
      <m:oMathPara>
        <m:oMath>
          <m:r>
            <w:rPr>
              <w:rFonts w:ascii="Cambria Math" w:hAnsi="Cambria Math"/>
            </w:rPr>
            <m:t>Shift</m:t>
          </m:r>
          <m:r>
            <m:rPr>
              <m:sty m:val="p"/>
            </m:rPr>
            <w:rPr>
              <w:rFonts w:ascii="Cambria Math" w:hAnsi="Cambria Math"/>
            </w:rPr>
            <m:t xml:space="preserve"> =</m:t>
          </m:r>
          <m:r>
            <w:rPr>
              <w:rFonts w:ascii="Cambria Math" w:hAnsi="Cambria Math"/>
            </w:rPr>
            <m:t>Periodicity</m:t>
          </m:r>
          <m:r>
            <m:rPr>
              <m:sty m:val="p"/>
            </m:rPr>
            <w:rPr>
              <w:rFonts w:ascii="Cambria Math" w:hAnsi="Cambria Math"/>
            </w:rPr>
            <m:t>(arg min⁡</m:t>
          </m:r>
          <m:r>
            <w:rPr>
              <w:rFonts w:ascii="Cambria Math" w:hAnsi="Cambria Math"/>
            </w:rPr>
            <m:t>(</m:t>
          </m:r>
          <m:sSub>
            <m:sSubPr>
              <m:ctrlPr>
                <w:rPr>
                  <w:rFonts w:ascii="Cambria Math" w:hAnsi="Cambria Math"/>
                </w:rPr>
              </m:ctrlPr>
            </m:sSubPr>
            <m:e>
              <m:r>
                <w:rPr>
                  <w:rFonts w:ascii="Cambria Math" w:hAnsi="Cambria Math"/>
                </w:rPr>
                <m:t>Periodicity</m:t>
              </m:r>
            </m:e>
            <m:sub>
              <m:r>
                <w:rPr>
                  <w:rFonts w:ascii="Cambria Math" w:hAnsi="Cambria Math"/>
                </w:rPr>
                <m:t>x</m:t>
              </m:r>
            </m:sub>
          </m:sSub>
          <m:r>
            <m:rPr>
              <m:sty m:val="p"/>
            </m:rPr>
            <w:rPr>
              <w:rFonts w:ascii="Cambria Math" w:hAnsi="Cambria Math"/>
            </w:rPr>
            <m:t>≤|</m:t>
          </m:r>
          <m:r>
            <w:rPr>
              <w:rFonts w:ascii="Cambria Math" w:hAnsi="Cambria Math"/>
            </w:rPr>
            <m:t>ArbitraryPeriodicity</m:t>
          </m:r>
          <m:r>
            <m:rPr>
              <m:sty m:val="p"/>
            </m:rPr>
            <w:rPr>
              <w:rFonts w:ascii="Cambria Math" w:hAnsi="Cambria Math"/>
            </w:rPr>
            <m:t>-</m:t>
          </m:r>
          <m:r>
            <w:rPr>
              <w:rFonts w:ascii="Cambria Math" w:hAnsi="Cambria Math"/>
            </w:rPr>
            <m:t>Periodicity</m:t>
          </m:r>
          <m:r>
            <m:rPr>
              <m:sty m:val="p"/>
            </m:rPr>
            <w:rPr>
              <w:rFonts w:ascii="Cambria Math" w:hAnsi="Cambria Math"/>
            </w:rPr>
            <m:t xml:space="preserve">|)) </m:t>
          </m:r>
        </m:oMath>
      </m:oMathPara>
    </w:p>
    <w:p w14:paraId="3E337F87" w14:textId="11C62A4F" w:rsidR="007F54CA" w:rsidRDefault="00002D20" w:rsidP="00173AE6">
      <w:pPr>
        <w:pStyle w:val="EQ"/>
      </w:pPr>
      <w:bookmarkStart w:id="4" w:name="_Hlk20982994"/>
      <m:oMathPara>
        <m:oMath>
          <m:r>
            <w:rPr>
              <w:rFonts w:ascii="Cambria Math" w:hAnsi="Cambria Math"/>
            </w:rPr>
            <m:t>sgn</m:t>
          </m:r>
          <m:r>
            <m:rPr>
              <m:sty m:val="p"/>
            </m:rPr>
            <w:rPr>
              <w:rFonts w:ascii="Cambria Math" w:hAnsi="Cambria Math"/>
            </w:rPr>
            <m:t>(</m:t>
          </m:r>
          <m:r>
            <w:rPr>
              <w:rFonts w:ascii="Cambria Math" w:hAnsi="Cambria Math"/>
            </w:rPr>
            <m:t>Shift</m:t>
          </m:r>
          <m:r>
            <m:rPr>
              <m:sty m:val="p"/>
            </m:rPr>
            <w:rPr>
              <w:rFonts w:ascii="Cambria Math" w:hAnsi="Cambria Math"/>
            </w:rPr>
            <m:t xml:space="preserve">)= </m:t>
          </m:r>
          <m:r>
            <w:rPr>
              <w:rFonts w:ascii="Cambria Math" w:hAnsi="Cambria Math"/>
            </w:rPr>
            <m:t>sgn</m:t>
          </m:r>
          <m:r>
            <m:rPr>
              <m:sty m:val="p"/>
            </m:rPr>
            <w:rPr>
              <w:rFonts w:ascii="Cambria Math" w:hAnsi="Cambria Math"/>
            </w:rPr>
            <m:t>(</m:t>
          </m:r>
          <m:r>
            <w:rPr>
              <w:rFonts w:ascii="Cambria Math" w:hAnsi="Cambria Math"/>
            </w:rPr>
            <m:t>ArbitraryPeriodicity</m:t>
          </m:r>
          <m:r>
            <m:rPr>
              <m:sty m:val="p"/>
            </m:rPr>
            <w:rPr>
              <w:rFonts w:ascii="Cambria Math" w:hAnsi="Cambria Math"/>
            </w:rPr>
            <m:t xml:space="preserve"> – </m:t>
          </m:r>
          <m:r>
            <w:rPr>
              <w:rFonts w:ascii="Cambria Math" w:hAnsi="Cambria Math"/>
            </w:rPr>
            <m:t>Periodicity</m:t>
          </m:r>
          <m:r>
            <m:rPr>
              <m:sty m:val="p"/>
            </m:rPr>
            <w:rPr>
              <w:rFonts w:ascii="Cambria Math" w:hAnsi="Cambria Math"/>
            </w:rPr>
            <m:t>)</m:t>
          </m:r>
        </m:oMath>
      </m:oMathPara>
      <w:bookmarkEnd w:id="4"/>
    </w:p>
    <w:p w14:paraId="781BC3E2" w14:textId="6C6645A0" w:rsidR="004E3F05" w:rsidRDefault="00135951">
      <w:pPr>
        <w:numPr>
          <w:ilvl w:val="0"/>
          <w:numId w:val="6"/>
        </w:numPr>
        <w:tabs>
          <w:tab w:val="left" w:pos="1440"/>
        </w:tabs>
      </w:pPr>
      <w:r>
        <w:rPr>
          <w:lang w:val="en-US"/>
        </w:rPr>
        <w:t>Cyclic</w:t>
      </w:r>
      <w:r>
        <w:rPr>
          <w:i/>
          <w:lang w:val="en-US"/>
        </w:rPr>
        <w:t xml:space="preserve"> shifting pattern </w:t>
      </w:r>
      <w:r w:rsidR="00F54963">
        <w:rPr>
          <w:i/>
          <w:lang w:val="en-US"/>
        </w:rPr>
        <w:t xml:space="preserve">for reoccurrences </w:t>
      </w:r>
      <w:r>
        <w:rPr>
          <w:lang w:val="en-US"/>
        </w:rPr>
        <w:t xml:space="preserve">with the least delay is determined </w:t>
      </w:r>
      <w:r w:rsidR="004962BB">
        <w:rPr>
          <w:lang w:val="en-US"/>
        </w:rPr>
        <w:t>according to formula below, where the</w:t>
      </w:r>
      <w:r>
        <w:rPr>
          <w:lang w:val="en-US"/>
        </w:rPr>
        <w:t xml:space="preserve"> </w:t>
      </w:r>
      <w:r w:rsidR="00F54963">
        <w:rPr>
          <w:lang w:val="en-US"/>
        </w:rPr>
        <w:t xml:space="preserve">starting occurrence </w:t>
      </w:r>
      <w:r>
        <w:rPr>
          <w:lang w:val="en-US"/>
        </w:rPr>
        <w:t>matches with the target periodicity without any alignment delay</w:t>
      </w:r>
      <w:r w:rsidR="004962BB">
        <w:rPr>
          <w:lang w:val="en-US"/>
        </w:rPr>
        <w:t>.</w:t>
      </w:r>
      <w:r>
        <w:rPr>
          <w:lang w:val="en-US"/>
        </w:rPr>
        <w:t xml:space="preserve"> </w:t>
      </w:r>
      <w:r w:rsidR="002F16A5">
        <w:rPr>
          <w:lang w:val="en-US"/>
        </w:rPr>
        <w:t xml:space="preserve">Formula keeps the </w:t>
      </w:r>
      <w:r>
        <w:rPr>
          <w:lang w:val="en-US"/>
        </w:rPr>
        <w:t xml:space="preserve">alignment delay </w:t>
      </w:r>
      <w:r w:rsidR="00BF3F19">
        <w:rPr>
          <w:lang w:val="en-US"/>
        </w:rPr>
        <w:t>in each reoccurrence</w:t>
      </w:r>
      <w:r>
        <w:rPr>
          <w:lang w:val="en-US"/>
        </w:rPr>
        <w:t xml:space="preserve"> less than shifting step size.  E.g. shifting pattern is [</w:t>
      </w:r>
      <w:proofErr w:type="gramStart"/>
      <w:r>
        <w:rPr>
          <w:lang w:val="en-US"/>
        </w:rPr>
        <w:t>0  1</w:t>
      </w:r>
      <w:proofErr w:type="gramEnd"/>
      <w:r>
        <w:rPr>
          <w:lang w:val="en-US"/>
        </w:rPr>
        <w:t xml:space="preserve">  </w:t>
      </w:r>
      <w:r w:rsidDel="00203E81">
        <w:rPr>
          <w:lang w:val="en-US"/>
        </w:rPr>
        <w:t>1</w:t>
      </w:r>
      <w:r>
        <w:rPr>
          <w:lang w:val="en-US"/>
        </w:rPr>
        <w:t xml:space="preserve">  1 </w:t>
      </w:r>
      <w:r w:rsidDel="00203E81">
        <w:rPr>
          <w:lang w:val="en-US"/>
        </w:rPr>
        <w:t xml:space="preserve"> 0</w:t>
      </w:r>
      <w:r>
        <w:rPr>
          <w:lang w:val="en-US"/>
        </w:rPr>
        <w:t xml:space="preserve">  1  </w:t>
      </w:r>
      <w:r w:rsidDel="00203E81">
        <w:rPr>
          <w:lang w:val="en-US"/>
        </w:rPr>
        <w:t xml:space="preserve">1  </w:t>
      </w:r>
      <w:r w:rsidR="00203E81">
        <w:rPr>
          <w:lang w:val="en-US"/>
        </w:rPr>
        <w:t xml:space="preserve">1  </w:t>
      </w:r>
      <w:r w:rsidDel="00203E81">
        <w:rPr>
          <w:lang w:val="en-US"/>
        </w:rPr>
        <w:t xml:space="preserve">0  </w:t>
      </w:r>
      <w:r>
        <w:rPr>
          <w:lang w:val="en-US"/>
        </w:rPr>
        <w:t xml:space="preserve">1  1  1  1] (M/N = </w:t>
      </w:r>
      <w:r w:rsidDel="00203E81">
        <w:rPr>
          <w:lang w:val="en-US"/>
        </w:rPr>
        <w:t>10</w:t>
      </w:r>
      <w:r>
        <w:rPr>
          <w:lang w:val="en-US"/>
        </w:rPr>
        <w:t>/13)</w:t>
      </w:r>
      <w:r w:rsidR="00AE58FF">
        <w:rPr>
          <w:lang w:val="en-US"/>
        </w:rPr>
        <w:t xml:space="preserve"> and [1 1 </w:t>
      </w:r>
      <w:r w:rsidR="007E1D6A">
        <w:rPr>
          <w:lang w:val="en-US"/>
        </w:rPr>
        <w:t xml:space="preserve">0 </w:t>
      </w:r>
      <w:r w:rsidR="00AE58FF">
        <w:rPr>
          <w:lang w:val="en-US"/>
        </w:rPr>
        <w:t>1 0] (M/N 3/</w:t>
      </w:r>
      <w:r w:rsidR="007E1D6A">
        <w:rPr>
          <w:lang w:val="en-US"/>
        </w:rPr>
        <w:t>5</w:t>
      </w:r>
      <w:r w:rsidR="00AE58FF">
        <w:rPr>
          <w:lang w:val="en-US"/>
        </w:rPr>
        <w:t>) for examples A and B</w:t>
      </w:r>
      <w:r>
        <w:rPr>
          <w:lang w:val="en-US"/>
        </w:rPr>
        <w:t>.</w:t>
      </w:r>
      <w:r w:rsidR="00F54963">
        <w:rPr>
          <w:lang w:val="en-US"/>
        </w:rPr>
        <w:t xml:space="preserve"> The same is put in</w:t>
      </w:r>
      <w:r w:rsidR="00DF45DE">
        <w:rPr>
          <w:lang w:val="en-US"/>
        </w:rPr>
        <w:t xml:space="preserve"> the</w:t>
      </w:r>
      <w:r w:rsidR="00F54963">
        <w:rPr>
          <w:lang w:val="en-US"/>
        </w:rPr>
        <w:t xml:space="preserve"> equation below, where need for shifting is evaluated for each occurrence of N </w:t>
      </w:r>
      <w:r w:rsidR="00BC7804">
        <w:rPr>
          <w:lang w:val="en-US"/>
        </w:rPr>
        <w:t>while</w:t>
      </w:r>
      <w:r w:rsidR="00F54963">
        <w:rPr>
          <w:lang w:val="en-US"/>
        </w:rPr>
        <w:t xml:space="preserve"> M is incremented for each shift:  </w:t>
      </w:r>
    </w:p>
    <w:p w14:paraId="1C6415EB" w14:textId="61189EC7" w:rsidR="00F54963" w:rsidRDefault="00002D20">
      <w:pPr>
        <w:tabs>
          <w:tab w:val="left" w:pos="720"/>
        </w:tabs>
      </w:pPr>
      <m:oMathPara>
        <m:oMath>
          <m:r>
            <w:rPr>
              <w:rFonts w:ascii="Cambria Math" w:eastAsia="Malgun Gothic" w:hAnsi="Cambria Math"/>
              <w:noProof/>
              <w:lang w:eastAsia="ko-KR"/>
            </w:rPr>
            <m:t>N</m:t>
          </m:r>
          <m:r>
            <m:rPr>
              <m:sty m:val="p"/>
            </m:rPr>
            <w:rPr>
              <w:rFonts w:ascii="Cambria Math" w:eastAsia="Malgun Gothic" w:hAnsi="Cambria Math"/>
              <w:noProof/>
              <w:lang w:eastAsia="ko-KR"/>
            </w:rPr>
            <m:t xml:space="preserve"> x (</m:t>
          </m:r>
          <m:r>
            <w:rPr>
              <w:rFonts w:ascii="Cambria Math" w:eastAsia="Malgun Gothic" w:hAnsi="Cambria Math"/>
              <w:noProof/>
              <w:lang w:eastAsia="ko-KR"/>
            </w:rPr>
            <m:t>ArbitraryPeriodicity</m:t>
          </m:r>
          <m:r>
            <m:rPr>
              <m:sty m:val="p"/>
            </m:rPr>
            <w:rPr>
              <w:rFonts w:ascii="Cambria Math" w:eastAsia="Malgun Gothic" w:hAnsi="Cambria Math"/>
              <w:noProof/>
              <w:lang w:eastAsia="ko-KR"/>
            </w:rPr>
            <m:t xml:space="preserve"> – </m:t>
          </m:r>
          <m:r>
            <w:rPr>
              <w:rFonts w:ascii="Cambria Math" w:eastAsia="Malgun Gothic" w:hAnsi="Cambria Math"/>
              <w:noProof/>
              <w:lang w:eastAsia="ko-KR"/>
            </w:rPr>
            <m:t>Periodicity</m:t>
          </m:r>
          <m:r>
            <m:rPr>
              <m:sty m:val="p"/>
            </m:rPr>
            <w:rPr>
              <w:rFonts w:ascii="Cambria Math" w:eastAsia="Malgun Gothic" w:hAnsi="Cambria Math"/>
              <w:noProof/>
              <w:lang w:eastAsia="ko-KR"/>
            </w:rPr>
            <m:t xml:space="preserve">) – </m:t>
          </m:r>
          <m:sSub>
            <m:sSubPr>
              <m:ctrlPr>
                <w:rPr>
                  <w:rFonts w:ascii="Cambria Math" w:eastAsia="Malgun Gothic" w:hAnsi="Cambria Math"/>
                  <w:noProof/>
                  <w:lang w:eastAsia="ko-KR"/>
                </w:rPr>
              </m:ctrlPr>
            </m:sSubPr>
            <m:e>
              <m:r>
                <w:rPr>
                  <w:rFonts w:ascii="Cambria Math" w:eastAsia="Malgun Gothic" w:hAnsi="Cambria Math"/>
                  <w:noProof/>
                  <w:lang w:eastAsia="ko-KR"/>
                </w:rPr>
                <m:t>M</m:t>
              </m:r>
            </m:e>
            <m:sub>
              <m:r>
                <w:rPr>
                  <w:rFonts w:ascii="Cambria Math" w:eastAsia="Malgun Gothic" w:hAnsi="Cambria Math"/>
                  <w:noProof/>
                  <w:lang w:eastAsia="ko-KR"/>
                </w:rPr>
                <m:t>N</m:t>
              </m:r>
              <m:r>
                <m:rPr>
                  <m:sty m:val="p"/>
                </m:rPr>
                <w:rPr>
                  <w:rFonts w:ascii="Cambria Math" w:eastAsia="Malgun Gothic" w:hAnsi="Cambria Math"/>
                  <w:noProof/>
                  <w:lang w:eastAsia="ko-KR"/>
                </w:rPr>
                <m:t>-1</m:t>
              </m:r>
            </m:sub>
          </m:sSub>
          <m:r>
            <m:rPr>
              <m:sty m:val="p"/>
            </m:rPr>
            <w:rPr>
              <w:rFonts w:ascii="Cambria Math" w:eastAsia="Malgun Gothic" w:hAnsi="Cambria Math"/>
              <w:noProof/>
              <w:lang w:eastAsia="ko-KR"/>
            </w:rPr>
            <m:t xml:space="preserve"> x </m:t>
          </m:r>
          <m:r>
            <w:rPr>
              <w:rFonts w:ascii="Cambria Math" w:eastAsia="Malgun Gothic" w:hAnsi="Cambria Math"/>
              <w:noProof/>
              <w:lang w:eastAsia="ko-KR"/>
            </w:rPr>
            <m:t>Shift</m:t>
          </m:r>
          <m:d>
            <m:dPr>
              <m:begChr m:val="{"/>
              <m:endChr m:val=""/>
              <m:ctrlPr>
                <w:rPr>
                  <w:rFonts w:ascii="Cambria Math" w:eastAsia="Malgun Gothic" w:hAnsi="Cambria Math"/>
                  <w:noProof/>
                  <w:lang w:eastAsia="ko-KR"/>
                </w:rPr>
              </m:ctrlPr>
            </m:dPr>
            <m:e>
              <m:eqArr>
                <m:eqArrPr>
                  <m:ctrlPr>
                    <w:rPr>
                      <w:rFonts w:ascii="Cambria Math" w:eastAsia="Malgun Gothic" w:hAnsi="Cambria Math"/>
                      <w:noProof/>
                      <w:lang w:eastAsia="ko-KR"/>
                    </w:rPr>
                  </m:ctrlPr>
                </m:eqArrPr>
                <m:e>
                  <m:r>
                    <m:rPr>
                      <m:sty m:val="p"/>
                    </m:rPr>
                    <w:rPr>
                      <w:rFonts w:ascii="Cambria Math" w:eastAsia="Malgun Gothic" w:hAnsi="Cambria Math"/>
                      <w:noProof/>
                      <w:lang w:eastAsia="ko-KR"/>
                    </w:rPr>
                    <m:t xml:space="preserve">&gt;0         ,  &amp; when </m:t>
                  </m:r>
                  <m:r>
                    <w:rPr>
                      <w:rFonts w:ascii="Cambria Math" w:eastAsia="Malgun Gothic" w:hAnsi="Cambria Math"/>
                      <w:noProof/>
                      <w:lang w:eastAsia="ko-KR"/>
                    </w:rPr>
                    <m:t>Shift</m:t>
                  </m:r>
                  <m:r>
                    <m:rPr>
                      <m:sty m:val="p"/>
                    </m:rPr>
                    <w:rPr>
                      <w:rFonts w:ascii="Cambria Math" w:eastAsia="Malgun Gothic" w:hAnsi="Cambria Math"/>
                      <w:noProof/>
                      <w:lang w:eastAsia="ko-KR"/>
                    </w:rPr>
                    <m:t>&gt;0</m:t>
                  </m:r>
                </m:e>
                <m:e>
                  <m:r>
                    <m:rPr>
                      <m:sty m:val="p"/>
                    </m:rPr>
                    <w:rPr>
                      <w:rFonts w:ascii="Cambria Math" w:eastAsia="Malgun Gothic" w:hAnsi="Cambria Math"/>
                      <w:noProof/>
                      <w:lang w:eastAsia="ko-KR"/>
                    </w:rPr>
                    <m:t>≤</m:t>
                  </m:r>
                  <m:r>
                    <m:rPr>
                      <m:sty m:val="p"/>
                    </m:rPr>
                    <w:rPr>
                      <w:rFonts w:ascii="Cambria Math" w:hAnsi="Cambria Math"/>
                    </w:rPr>
                    <m:t xml:space="preserve"> </m:t>
                  </m:r>
                  <m:r>
                    <w:rPr>
                      <w:rFonts w:ascii="Cambria Math" w:eastAsia="Malgun Gothic" w:hAnsi="Cambria Math"/>
                      <w:noProof/>
                      <w:lang w:eastAsia="ko-KR"/>
                    </w:rPr>
                    <m:t>Shift</m:t>
                  </m:r>
                  <m:r>
                    <m:rPr>
                      <m:sty m:val="p"/>
                    </m:rPr>
                    <w:rPr>
                      <w:rFonts w:ascii="Cambria Math" w:eastAsia="Malgun Gothic" w:hAnsi="Cambria Math"/>
                      <w:noProof/>
                      <w:lang w:eastAsia="ko-KR"/>
                    </w:rPr>
                    <m:t xml:space="preserve">,  &amp; when </m:t>
                  </m:r>
                  <m:r>
                    <w:rPr>
                      <w:rFonts w:ascii="Cambria Math" w:eastAsia="Malgun Gothic" w:hAnsi="Cambria Math"/>
                      <w:noProof/>
                      <w:lang w:eastAsia="ko-KR"/>
                    </w:rPr>
                    <m:t>Shift</m:t>
                  </m:r>
                  <m:r>
                    <m:rPr>
                      <m:sty m:val="p"/>
                    </m:rPr>
                    <w:rPr>
                      <w:rFonts w:ascii="Cambria Math" w:eastAsia="Malgun Gothic" w:hAnsi="Cambria Math"/>
                      <w:noProof/>
                      <w:lang w:eastAsia="ko-KR"/>
                    </w:rPr>
                    <m:t>&lt;0</m:t>
                  </m:r>
                </m:e>
              </m:eqArr>
            </m:e>
          </m:d>
        </m:oMath>
      </m:oMathPara>
    </w:p>
    <w:p w14:paraId="6158AD8C" w14:textId="77777777" w:rsidR="00173AE6" w:rsidRDefault="00173AE6" w:rsidP="00777E34">
      <w:pPr>
        <w:pStyle w:val="Caption"/>
        <w:keepNext/>
        <w:rPr>
          <w:i w:val="0"/>
          <w:color w:val="auto"/>
          <w:sz w:val="20"/>
          <w:szCs w:val="20"/>
        </w:rPr>
      </w:pPr>
    </w:p>
    <w:p w14:paraId="6327B96F" w14:textId="42A8160B" w:rsidR="00777E34" w:rsidRDefault="00135951" w:rsidP="00777E34">
      <w:pPr>
        <w:pStyle w:val="Caption"/>
        <w:keepNext/>
      </w:pPr>
      <w:r w:rsidRPr="00173AE6">
        <w:rPr>
          <w:i w:val="0"/>
          <w:color w:val="auto"/>
          <w:sz w:val="20"/>
          <w:szCs w:val="20"/>
        </w:rPr>
        <w:t xml:space="preserve">SPS/CG shifting </w:t>
      </w:r>
      <w:r w:rsidR="00173AE6">
        <w:rPr>
          <w:i w:val="0"/>
          <w:color w:val="auto"/>
          <w:sz w:val="20"/>
          <w:szCs w:val="20"/>
        </w:rPr>
        <w:t xml:space="preserve">requires signalling of a set of parameters using, e.g. </w:t>
      </w:r>
      <w:r w:rsidR="00777E34">
        <w:rPr>
          <w:i w:val="0"/>
          <w:iCs w:val="0"/>
          <w:color w:val="auto"/>
          <w:sz w:val="20"/>
          <w:szCs w:val="20"/>
        </w:rPr>
        <w:t>RRC</w:t>
      </w:r>
      <w:r w:rsidR="00173AE6">
        <w:rPr>
          <w:i w:val="0"/>
          <w:iCs w:val="0"/>
          <w:color w:val="auto"/>
          <w:sz w:val="20"/>
          <w:szCs w:val="20"/>
        </w:rPr>
        <w:t>. T</w:t>
      </w:r>
      <w:r w:rsidR="00C93B19">
        <w:rPr>
          <w:i w:val="0"/>
          <w:iCs w:val="0"/>
          <w:color w:val="auto"/>
          <w:sz w:val="20"/>
          <w:szCs w:val="20"/>
        </w:rPr>
        <w:t xml:space="preserve">wo </w:t>
      </w:r>
      <w:r w:rsidR="00173AE6">
        <w:rPr>
          <w:i w:val="0"/>
          <w:iCs w:val="0"/>
          <w:color w:val="auto"/>
          <w:sz w:val="20"/>
          <w:szCs w:val="20"/>
        </w:rPr>
        <w:t xml:space="preserve">potential </w:t>
      </w:r>
      <w:r w:rsidRPr="00173AE6">
        <w:rPr>
          <w:i w:val="0"/>
          <w:color w:val="auto"/>
          <w:sz w:val="20"/>
          <w:szCs w:val="20"/>
        </w:rPr>
        <w:t>options</w:t>
      </w:r>
      <w:r w:rsidRPr="00173AE6">
        <w:rPr>
          <w:i w:val="0"/>
          <w:iCs w:val="0"/>
          <w:color w:val="auto"/>
          <w:sz w:val="20"/>
          <w:szCs w:val="20"/>
        </w:rPr>
        <w:t xml:space="preserve"> </w:t>
      </w:r>
      <w:r w:rsidR="00173AE6">
        <w:rPr>
          <w:i w:val="0"/>
          <w:iCs w:val="0"/>
          <w:color w:val="auto"/>
          <w:sz w:val="20"/>
          <w:szCs w:val="20"/>
        </w:rPr>
        <w:t xml:space="preserve">are presented in </w:t>
      </w:r>
      <w:r w:rsidR="00517D41" w:rsidRPr="00173AE6">
        <w:rPr>
          <w:i w:val="0"/>
          <w:color w:val="auto"/>
          <w:sz w:val="20"/>
          <w:szCs w:val="20"/>
        </w:rPr>
        <w:t>Table</w:t>
      </w:r>
      <w:r w:rsidR="00173AE6">
        <w:rPr>
          <w:i w:val="0"/>
          <w:color w:val="auto"/>
          <w:sz w:val="20"/>
          <w:szCs w:val="20"/>
        </w:rPr>
        <w:t> </w:t>
      </w:r>
      <w:r w:rsidR="00517D41" w:rsidRPr="00173AE6">
        <w:rPr>
          <w:i w:val="0"/>
          <w:color w:val="auto"/>
          <w:sz w:val="20"/>
          <w:szCs w:val="20"/>
        </w:rPr>
        <w:t>1</w:t>
      </w:r>
      <w:r w:rsidR="00792F86" w:rsidRPr="00173AE6">
        <w:rPr>
          <w:i w:val="0"/>
          <w:color w:val="auto"/>
          <w:sz w:val="20"/>
          <w:szCs w:val="20"/>
        </w:rPr>
        <w:t>.</w:t>
      </w:r>
      <w:r>
        <w:t xml:space="preserve"> </w:t>
      </w:r>
      <w:r w:rsidR="004655C5">
        <w:t xml:space="preserve"> </w:t>
      </w:r>
    </w:p>
    <w:p w14:paraId="52889596" w14:textId="28626E21" w:rsidR="00777E34" w:rsidRDefault="00777E34" w:rsidP="00777E34">
      <w:pPr>
        <w:pStyle w:val="Caption"/>
        <w:keepNext/>
      </w:pPr>
      <w:r>
        <w:t xml:space="preserve">Table </w:t>
      </w:r>
      <w:r>
        <w:fldChar w:fldCharType="begin"/>
      </w:r>
      <w:r>
        <w:instrText>SEQ Table \* ARABIC</w:instrText>
      </w:r>
      <w:r>
        <w:fldChar w:fldCharType="separate"/>
      </w:r>
      <w:r>
        <w:t>1</w:t>
      </w:r>
      <w:r>
        <w:fldChar w:fldCharType="end"/>
      </w:r>
      <w:r>
        <w:t xml:space="preserve"> Signalling options for Category A</w:t>
      </w:r>
    </w:p>
    <w:tbl>
      <w:tblPr>
        <w:tblStyle w:val="TableGrid"/>
        <w:tblW w:w="9067" w:type="dxa"/>
        <w:tblLook w:val="04A0" w:firstRow="1" w:lastRow="0" w:firstColumn="1" w:lastColumn="0" w:noHBand="0" w:noVBand="1"/>
      </w:tblPr>
      <w:tblGrid>
        <w:gridCol w:w="817"/>
        <w:gridCol w:w="3998"/>
        <w:gridCol w:w="4252"/>
      </w:tblGrid>
      <w:tr w:rsidR="00777E34" w14:paraId="358841C8" w14:textId="77777777" w:rsidTr="00D8419E">
        <w:tc>
          <w:tcPr>
            <w:tcW w:w="817" w:type="dxa"/>
            <w:shd w:val="clear" w:color="auto" w:fill="auto"/>
          </w:tcPr>
          <w:p w14:paraId="5CDF8E48" w14:textId="77777777" w:rsidR="00777E34" w:rsidRDefault="00777E34" w:rsidP="00D8419E">
            <w:pPr>
              <w:jc w:val="center"/>
              <w:rPr>
                <w:b/>
              </w:rPr>
            </w:pPr>
            <w:r>
              <w:rPr>
                <w:b/>
              </w:rPr>
              <w:t>Option</w:t>
            </w:r>
          </w:p>
        </w:tc>
        <w:tc>
          <w:tcPr>
            <w:tcW w:w="3998" w:type="dxa"/>
            <w:shd w:val="clear" w:color="auto" w:fill="auto"/>
          </w:tcPr>
          <w:p w14:paraId="0762447D" w14:textId="08D4571F" w:rsidR="00777E34" w:rsidRDefault="009A7986" w:rsidP="00D8419E">
            <w:pPr>
              <w:rPr>
                <w:b/>
              </w:rPr>
            </w:pPr>
            <w:r>
              <w:rPr>
                <w:b/>
              </w:rPr>
              <w:t>Configured parameters</w:t>
            </w:r>
          </w:p>
        </w:tc>
        <w:tc>
          <w:tcPr>
            <w:tcW w:w="4252" w:type="dxa"/>
            <w:shd w:val="clear" w:color="auto" w:fill="auto"/>
          </w:tcPr>
          <w:p w14:paraId="5FEA2B34" w14:textId="77777777" w:rsidR="00777E34" w:rsidRDefault="00777E34" w:rsidP="00D8419E">
            <w:pPr>
              <w:rPr>
                <w:b/>
              </w:rPr>
            </w:pPr>
            <w:r>
              <w:rPr>
                <w:b/>
              </w:rPr>
              <w:t>Pros / Cons</w:t>
            </w:r>
          </w:p>
        </w:tc>
      </w:tr>
      <w:tr w:rsidR="00777E34" w14:paraId="56B87D06" w14:textId="77777777" w:rsidTr="00D8419E">
        <w:tc>
          <w:tcPr>
            <w:tcW w:w="817" w:type="dxa"/>
            <w:shd w:val="clear" w:color="auto" w:fill="auto"/>
          </w:tcPr>
          <w:p w14:paraId="475071F8" w14:textId="77777777" w:rsidR="00777E34" w:rsidRDefault="00777E34" w:rsidP="00D8419E">
            <w:pPr>
              <w:jc w:val="center"/>
            </w:pPr>
            <w:r>
              <w:t>A1</w:t>
            </w:r>
          </w:p>
        </w:tc>
        <w:tc>
          <w:tcPr>
            <w:tcW w:w="3998" w:type="dxa"/>
            <w:shd w:val="clear" w:color="auto" w:fill="auto"/>
          </w:tcPr>
          <w:p w14:paraId="7431088A" w14:textId="77777777" w:rsidR="00777E34" w:rsidRDefault="00777E34" w:rsidP="00D8419E">
            <w:pPr>
              <w:pStyle w:val="ListParagraph"/>
              <w:numPr>
                <w:ilvl w:val="0"/>
                <w:numId w:val="14"/>
              </w:numPr>
            </w:pPr>
            <w:r>
              <w:t>Arbitrary periodicity</w:t>
            </w:r>
          </w:p>
          <w:p w14:paraId="182180FC" w14:textId="77777777" w:rsidR="00777E34" w:rsidRDefault="00777E34" w:rsidP="00D8419E">
            <w:pPr>
              <w:pStyle w:val="ListParagraph"/>
              <w:numPr>
                <w:ilvl w:val="0"/>
                <w:numId w:val="14"/>
              </w:numPr>
            </w:pPr>
            <w:r>
              <w:t>Shift</w:t>
            </w:r>
          </w:p>
          <w:p w14:paraId="585DF7EC" w14:textId="77777777" w:rsidR="00777E34" w:rsidRDefault="00777E34" w:rsidP="00D8419E">
            <w:pPr>
              <w:pStyle w:val="ListParagraph"/>
              <w:numPr>
                <w:ilvl w:val="0"/>
                <w:numId w:val="14"/>
              </w:numPr>
            </w:pPr>
            <w:r>
              <w:t>N (cyclic length)</w:t>
            </w:r>
          </w:p>
          <w:p w14:paraId="27FCF14D" w14:textId="77777777" w:rsidR="00777E34" w:rsidRDefault="00777E34" w:rsidP="00D8419E">
            <w:pPr>
              <w:pStyle w:val="ListParagraph"/>
              <w:numPr>
                <w:ilvl w:val="0"/>
                <w:numId w:val="14"/>
              </w:numPr>
            </w:pPr>
            <w:r>
              <w:t xml:space="preserve">M (number of shifts per cyclic length)  </w:t>
            </w:r>
          </w:p>
        </w:tc>
        <w:tc>
          <w:tcPr>
            <w:tcW w:w="4252" w:type="dxa"/>
            <w:shd w:val="clear" w:color="auto" w:fill="auto"/>
          </w:tcPr>
          <w:p w14:paraId="2DC1E546" w14:textId="5FB0D774" w:rsidR="00777E34" w:rsidRDefault="00777E34" w:rsidP="00D8419E">
            <w:r>
              <w:t xml:space="preserve">+ </w:t>
            </w:r>
            <w:r w:rsidR="00C93B19">
              <w:t xml:space="preserve">Compact </w:t>
            </w:r>
          </w:p>
          <w:p w14:paraId="02858128" w14:textId="77777777" w:rsidR="00777E34" w:rsidRDefault="00777E34" w:rsidP="00D8419E">
            <w:r>
              <w:t>− UE determines shifting occurrences</w:t>
            </w:r>
          </w:p>
        </w:tc>
      </w:tr>
      <w:tr w:rsidR="00777E34" w14:paraId="597805F2" w14:textId="77777777" w:rsidTr="00D8419E">
        <w:tc>
          <w:tcPr>
            <w:tcW w:w="817" w:type="dxa"/>
            <w:shd w:val="clear" w:color="auto" w:fill="auto"/>
          </w:tcPr>
          <w:p w14:paraId="7EA1306F" w14:textId="77777777" w:rsidR="00777E34" w:rsidRDefault="00777E34" w:rsidP="00D8419E">
            <w:pPr>
              <w:jc w:val="center"/>
            </w:pPr>
            <w:r>
              <w:t>A2</w:t>
            </w:r>
          </w:p>
        </w:tc>
        <w:tc>
          <w:tcPr>
            <w:tcW w:w="3998" w:type="dxa"/>
            <w:shd w:val="clear" w:color="auto" w:fill="auto"/>
          </w:tcPr>
          <w:p w14:paraId="08CC20B1" w14:textId="77777777" w:rsidR="00777E34" w:rsidRDefault="00777E34" w:rsidP="00D8419E">
            <w:pPr>
              <w:pStyle w:val="ListParagraph"/>
              <w:numPr>
                <w:ilvl w:val="0"/>
                <w:numId w:val="14"/>
              </w:numPr>
            </w:pPr>
            <w:r>
              <w:t>Arbitrary periodicity</w:t>
            </w:r>
          </w:p>
          <w:p w14:paraId="1A0EDE46" w14:textId="77777777" w:rsidR="00777E34" w:rsidRDefault="00777E34" w:rsidP="00D8419E">
            <w:pPr>
              <w:pStyle w:val="ListParagraph"/>
              <w:numPr>
                <w:ilvl w:val="0"/>
                <w:numId w:val="14"/>
              </w:numPr>
            </w:pPr>
            <w:r>
              <w:t>Shift</w:t>
            </w:r>
          </w:p>
          <w:p w14:paraId="4771F135" w14:textId="77777777" w:rsidR="00777E34" w:rsidRDefault="00777E34" w:rsidP="00D8419E">
            <w:pPr>
              <w:pStyle w:val="ListParagraph"/>
              <w:numPr>
                <w:ilvl w:val="0"/>
                <w:numId w:val="14"/>
              </w:numPr>
            </w:pPr>
            <w:r>
              <w:t>N (cyclic length)</w:t>
            </w:r>
          </w:p>
          <w:p w14:paraId="793F468E" w14:textId="77777777" w:rsidR="00777E34" w:rsidRDefault="00777E34" w:rsidP="00D8419E">
            <w:pPr>
              <w:pStyle w:val="ListParagraph"/>
              <w:numPr>
                <w:ilvl w:val="0"/>
                <w:numId w:val="14"/>
              </w:numPr>
            </w:pPr>
            <w:r>
              <w:t>M (number of shifts per cyclic length)</w:t>
            </w:r>
          </w:p>
          <w:p w14:paraId="0B82C0A8" w14:textId="77777777" w:rsidR="00777E34" w:rsidRDefault="00777E34" w:rsidP="00D8419E">
            <w:pPr>
              <w:pStyle w:val="ListParagraph"/>
              <w:numPr>
                <w:ilvl w:val="0"/>
                <w:numId w:val="14"/>
              </w:numPr>
            </w:pPr>
            <w:r>
              <w:t>Shifting pattern (bitmap)</w:t>
            </w:r>
          </w:p>
        </w:tc>
        <w:tc>
          <w:tcPr>
            <w:tcW w:w="4252" w:type="dxa"/>
            <w:shd w:val="clear" w:color="auto" w:fill="auto"/>
          </w:tcPr>
          <w:p w14:paraId="3225A54E" w14:textId="108B72EC" w:rsidR="00777E34" w:rsidRDefault="00777E34" w:rsidP="00D8419E">
            <w:r>
              <w:t xml:space="preserve">+ </w:t>
            </w:r>
            <w:r w:rsidR="00C93B19">
              <w:t>C</w:t>
            </w:r>
            <w:r>
              <w:t xml:space="preserve">omplete cyclic CG/SPS shifting configuration </w:t>
            </w:r>
          </w:p>
          <w:p w14:paraId="6943649F" w14:textId="1BEE6158" w:rsidR="00777E34" w:rsidRDefault="00777E34" w:rsidP="00D8419E">
            <w:r>
              <w:t xml:space="preserve">− </w:t>
            </w:r>
            <w:r w:rsidR="00C93B19">
              <w:t>P</w:t>
            </w:r>
            <w:r>
              <w:t>ossible overhead due to bitmap</w:t>
            </w:r>
          </w:p>
        </w:tc>
      </w:tr>
    </w:tbl>
    <w:p w14:paraId="5C369C93" w14:textId="0464988D" w:rsidR="004E3F05" w:rsidRDefault="004E3F05">
      <w:pPr>
        <w:tabs>
          <w:tab w:val="left" w:pos="720"/>
        </w:tabs>
      </w:pPr>
    </w:p>
    <w:p w14:paraId="33AA4542" w14:textId="7CEDEDD4" w:rsidR="00E0115F" w:rsidRPr="009A7986" w:rsidRDefault="009A7986" w:rsidP="009A7986">
      <w:pPr>
        <w:tabs>
          <w:tab w:val="left" w:pos="720"/>
        </w:tabs>
        <w:rPr>
          <w:rFonts w:eastAsia="Malgun Gothic"/>
          <w:noProof/>
          <w:color w:val="FF0000"/>
          <w:lang w:eastAsia="ko-KR"/>
        </w:rPr>
      </w:pPr>
      <w:r>
        <w:t xml:space="preserve">Based on the configured parameters as provided in Table 1, the </w:t>
      </w:r>
      <w:r w:rsidR="001F00B9">
        <w:t xml:space="preserve">configured grant </w:t>
      </w:r>
      <w:r>
        <w:t xml:space="preserve">or SPS occasion determination formulas in MAC would be affected. </w:t>
      </w:r>
      <w:r w:rsidR="001F00B9">
        <w:t>A</w:t>
      </w:r>
      <w:r>
        <w:t>a a</w:t>
      </w:r>
      <w:r w:rsidR="001F00B9">
        <w:t>n example for Type 2</w:t>
      </w:r>
      <w:r>
        <w:t xml:space="preserve"> CG, the following formula should be applied to </w:t>
      </w:r>
      <w:r w:rsidRPr="009A7986">
        <w:t>determine a symbol where the CG occasion occurs</w:t>
      </w:r>
      <w:r w:rsidR="006E095F">
        <w:t xml:space="preserve"> (in red, changes with respect to current formula are </w:t>
      </w:r>
      <w:r w:rsidR="00150902">
        <w:t>shown</w:t>
      </w:r>
      <w:r w:rsidR="006E095F">
        <w:t>)</w:t>
      </w:r>
      <w:r w:rsidRPr="009A7986">
        <w:t>:</w:t>
      </w:r>
    </w:p>
    <w:p w14:paraId="17027193" w14:textId="7A8D7DA0" w:rsidR="009A7986" w:rsidRPr="009A7986" w:rsidRDefault="009A7986" w:rsidP="009A7986">
      <w:pPr>
        <w:rPr>
          <w:rFonts w:eastAsia="Malgun Gothic"/>
          <w:noProof/>
          <w:color w:val="FF0000"/>
          <w:lang w:eastAsia="ko-KR"/>
        </w:rPr>
      </w:pPr>
      <w:r w:rsidRPr="009A7986">
        <w:rPr>
          <w:rFonts w:eastAsia="Malgun Gothic"/>
          <w:noProof/>
          <w:lang w:eastAsia="ko-KR"/>
        </w:rPr>
        <w:t xml:space="preserve">[(SFN × </w:t>
      </w:r>
      <w:r w:rsidRPr="009A7986">
        <w:rPr>
          <w:rFonts w:eastAsia="Malgun Gothic"/>
          <w:i/>
          <w:noProof/>
          <w:lang w:eastAsia="ko-KR"/>
        </w:rPr>
        <w:t>numberOfSlotsPerFrame</w:t>
      </w:r>
      <w:r w:rsidRPr="009A7986">
        <w:rPr>
          <w:rFonts w:eastAsia="Malgun Gothic"/>
          <w:noProof/>
          <w:lang w:eastAsia="ko-KR"/>
        </w:rPr>
        <w:t xml:space="preserve"> × </w:t>
      </w:r>
      <w:r w:rsidRPr="009A7986">
        <w:rPr>
          <w:rFonts w:eastAsia="Malgun Gothic"/>
          <w:i/>
          <w:noProof/>
          <w:lang w:eastAsia="ko-KR"/>
        </w:rPr>
        <w:t>numberOfSymbolsPerSlot</w:t>
      </w:r>
      <w:r w:rsidRPr="009A7986">
        <w:rPr>
          <w:rFonts w:eastAsia="Malgun Gothic"/>
          <w:noProof/>
          <w:lang w:eastAsia="ko-KR"/>
        </w:rPr>
        <w:t xml:space="preserve">) + (slot number in the frame × </w:t>
      </w:r>
      <w:r w:rsidRPr="009A7986">
        <w:rPr>
          <w:rFonts w:eastAsia="Malgun Gothic"/>
          <w:i/>
          <w:noProof/>
          <w:lang w:eastAsia="ko-KR"/>
        </w:rPr>
        <w:t>numberOfSymbolsPerSlot</w:t>
      </w:r>
      <w:r w:rsidRPr="009A7986">
        <w:rPr>
          <w:rFonts w:eastAsia="Malgun Gothic"/>
          <w:noProof/>
          <w:lang w:eastAsia="ko-KR"/>
        </w:rPr>
        <w:t>) + symbol number in the slot] =</w:t>
      </w:r>
      <w:r w:rsidRPr="009A7986">
        <w:rPr>
          <w:rFonts w:eastAsia="Malgun Gothic"/>
          <w:noProof/>
          <w:lang w:eastAsia="ko-KR"/>
        </w:rPr>
        <w:br/>
        <w:t>[(SFN</w:t>
      </w:r>
      <w:r w:rsidRPr="009A7986">
        <w:rPr>
          <w:rFonts w:eastAsia="Malgun Gothic"/>
          <w:noProof/>
          <w:vertAlign w:val="subscript"/>
          <w:lang w:eastAsia="ko-KR"/>
        </w:rPr>
        <w:t>start time</w:t>
      </w:r>
      <w:r w:rsidRPr="009A7986">
        <w:rPr>
          <w:rFonts w:eastAsia="Malgun Gothic"/>
          <w:noProof/>
          <w:lang w:eastAsia="ko-KR"/>
        </w:rPr>
        <w:t xml:space="preserve"> × </w:t>
      </w:r>
      <w:r w:rsidRPr="009A7986">
        <w:rPr>
          <w:rFonts w:eastAsia="Malgun Gothic"/>
          <w:i/>
          <w:noProof/>
          <w:lang w:eastAsia="ko-KR"/>
        </w:rPr>
        <w:t>numberOfSlotsPerFrame</w:t>
      </w:r>
      <w:r w:rsidRPr="009A7986">
        <w:rPr>
          <w:rFonts w:eastAsia="Malgun Gothic"/>
          <w:noProof/>
          <w:lang w:eastAsia="ko-KR"/>
        </w:rPr>
        <w:t xml:space="preserve"> × </w:t>
      </w:r>
      <w:r w:rsidRPr="009A7986">
        <w:rPr>
          <w:rFonts w:eastAsia="Malgun Gothic"/>
          <w:i/>
          <w:noProof/>
          <w:lang w:eastAsia="ko-KR"/>
        </w:rPr>
        <w:t>numberOfSymbolsPerSlot</w:t>
      </w:r>
      <w:r w:rsidRPr="009A7986">
        <w:rPr>
          <w:rFonts w:eastAsia="Malgun Gothic"/>
          <w:noProof/>
          <w:lang w:eastAsia="ko-KR"/>
        </w:rPr>
        <w:t xml:space="preserve"> + slot</w:t>
      </w:r>
      <w:r w:rsidRPr="009A7986">
        <w:rPr>
          <w:rFonts w:eastAsia="Malgun Gothic"/>
          <w:noProof/>
          <w:vertAlign w:val="subscript"/>
          <w:lang w:eastAsia="ko-KR"/>
        </w:rPr>
        <w:t>start time</w:t>
      </w:r>
      <w:r w:rsidRPr="009A7986">
        <w:rPr>
          <w:rFonts w:eastAsia="Malgun Gothic"/>
          <w:noProof/>
          <w:lang w:eastAsia="ko-KR"/>
        </w:rPr>
        <w:t xml:space="preserve"> × </w:t>
      </w:r>
      <w:r w:rsidRPr="009A7986">
        <w:rPr>
          <w:rFonts w:eastAsia="Malgun Gothic"/>
          <w:i/>
          <w:noProof/>
          <w:lang w:eastAsia="ko-KR"/>
        </w:rPr>
        <w:t>numberOfSymbolsPerSlot</w:t>
      </w:r>
      <w:r w:rsidRPr="009A7986">
        <w:rPr>
          <w:rFonts w:eastAsia="Malgun Gothic"/>
          <w:noProof/>
          <w:lang w:eastAsia="ko-KR"/>
        </w:rPr>
        <w:t xml:space="preserve"> + symbol</w:t>
      </w:r>
      <w:r w:rsidRPr="009A7986">
        <w:rPr>
          <w:rFonts w:eastAsia="Malgun Gothic"/>
          <w:noProof/>
          <w:vertAlign w:val="subscript"/>
          <w:lang w:eastAsia="ko-KR"/>
        </w:rPr>
        <w:t>start time</w:t>
      </w:r>
      <w:r w:rsidRPr="009A7986">
        <w:rPr>
          <w:rFonts w:eastAsia="Malgun Gothic"/>
          <w:noProof/>
          <w:lang w:eastAsia="ko-KR"/>
        </w:rPr>
        <w:t xml:space="preserve">) + N × </w:t>
      </w:r>
      <w:r w:rsidRPr="009A7986">
        <w:rPr>
          <w:rFonts w:eastAsia="Malgun Gothic"/>
          <w:i/>
          <w:noProof/>
          <w:lang w:eastAsia="ko-KR"/>
        </w:rPr>
        <w:t xml:space="preserve">periodicity </w:t>
      </w:r>
      <w:r w:rsidRPr="009A7986">
        <w:rPr>
          <w:rFonts w:eastAsia="Malgun Gothic"/>
          <w:i/>
          <w:noProof/>
          <w:color w:val="FF0000"/>
          <w:lang w:eastAsia="ko-KR"/>
        </w:rPr>
        <w:t>+ M x Shift</w:t>
      </w:r>
      <w:r w:rsidRPr="009A7986">
        <w:rPr>
          <w:rFonts w:eastAsia="Malgun Gothic"/>
          <w:noProof/>
          <w:lang w:eastAsia="ko-KR"/>
        </w:rPr>
        <w:t xml:space="preserve">] modulo (1024 × </w:t>
      </w:r>
      <w:r w:rsidRPr="009A7986">
        <w:rPr>
          <w:rFonts w:eastAsia="Malgun Gothic"/>
          <w:i/>
          <w:noProof/>
          <w:lang w:eastAsia="ko-KR"/>
        </w:rPr>
        <w:t>numberOfSlotsPerFrame</w:t>
      </w:r>
      <w:r w:rsidRPr="009A7986">
        <w:rPr>
          <w:rFonts w:eastAsia="Malgun Gothic"/>
          <w:noProof/>
          <w:lang w:eastAsia="ko-KR"/>
        </w:rPr>
        <w:t xml:space="preserve"> × </w:t>
      </w:r>
      <w:r w:rsidRPr="009A7986">
        <w:rPr>
          <w:rFonts w:eastAsia="Malgun Gothic"/>
          <w:i/>
          <w:noProof/>
          <w:lang w:eastAsia="ko-KR"/>
        </w:rPr>
        <w:t>numberOfSymbolsPerSlot</w:t>
      </w:r>
      <w:r w:rsidRPr="009A7986">
        <w:rPr>
          <w:rFonts w:eastAsia="Malgun Gothic"/>
          <w:noProof/>
          <w:lang w:eastAsia="ko-KR"/>
        </w:rPr>
        <w:t xml:space="preserve">), for all N &gt;= </w:t>
      </w:r>
      <w:r w:rsidRPr="009A7986">
        <w:rPr>
          <w:rFonts w:eastAsia="Malgun Gothic"/>
          <w:lang w:eastAsia="ko-KR"/>
        </w:rPr>
        <w:t xml:space="preserve">0 </w:t>
      </w:r>
      <w:r w:rsidRPr="009A7986">
        <w:rPr>
          <w:rFonts w:eastAsia="Malgun Gothic"/>
          <w:noProof/>
          <w:color w:val="FF0000"/>
          <w:lang w:eastAsia="ko-KR"/>
        </w:rPr>
        <w:t>and 0 &lt;= M &lt;= N, where M is incremented for each reoccurrence of shifting</w:t>
      </w:r>
      <w:r>
        <w:rPr>
          <w:rFonts w:eastAsia="Malgun Gothic"/>
          <w:noProof/>
          <w:color w:val="FF0000"/>
          <w:lang w:eastAsia="ko-KR"/>
        </w:rPr>
        <w:t>, where</w:t>
      </w:r>
      <w:r w:rsidRPr="009A7986">
        <w:rPr>
          <w:rFonts w:eastAsia="Malgun Gothic"/>
          <w:noProof/>
          <w:color w:val="FF0000"/>
          <w:lang w:eastAsia="ko-KR"/>
        </w:rPr>
        <w:t xml:space="preserve"> </w:t>
      </w:r>
      <w:r>
        <w:rPr>
          <w:rFonts w:eastAsia="Malgun Gothic"/>
          <w:noProof/>
          <w:color w:val="FF0000"/>
          <w:lang w:eastAsia="ko-KR"/>
        </w:rPr>
        <w:t>s</w:t>
      </w:r>
      <w:r w:rsidRPr="009A7986">
        <w:rPr>
          <w:rFonts w:eastAsia="Malgun Gothic"/>
          <w:noProof/>
          <w:color w:val="FF0000"/>
          <w:lang w:eastAsia="ko-KR"/>
        </w:rPr>
        <w:t>hifting reoccurs for period N when</w:t>
      </w:r>
      <w:r>
        <w:rPr>
          <w:rFonts w:eastAsia="Malgun Gothic"/>
          <w:noProof/>
          <w:color w:val="FF0000"/>
          <w:lang w:eastAsia="ko-KR"/>
        </w:rPr>
        <w:t>:</w:t>
      </w:r>
    </w:p>
    <w:p w14:paraId="53CBD2F7" w14:textId="77777777" w:rsidR="009A7986" w:rsidRPr="009A7986" w:rsidRDefault="009A7986" w:rsidP="009A7986">
      <w:pPr>
        <w:rPr>
          <w:rFonts w:eastAsia="Malgun Gothic"/>
          <w:noProof/>
          <w:color w:val="FF0000"/>
          <w:lang w:eastAsia="ko-KR"/>
        </w:rPr>
      </w:pPr>
      <m:oMath>
        <m:r>
          <w:rPr>
            <w:rFonts w:ascii="Cambria Math" w:eastAsia="Malgun Gothic" w:hAnsi="Cambria Math"/>
            <w:noProof/>
            <w:color w:val="FF0000"/>
            <w:lang w:eastAsia="ko-KR"/>
          </w:rPr>
          <m:t>N</m:t>
        </m:r>
        <m:r>
          <m:rPr>
            <m:sty m:val="p"/>
          </m:rPr>
          <w:rPr>
            <w:rFonts w:ascii="Cambria Math" w:eastAsia="Malgun Gothic" w:hAnsi="Cambria Math"/>
            <w:noProof/>
            <w:color w:val="FF0000"/>
            <w:lang w:eastAsia="ko-KR"/>
          </w:rPr>
          <m:t xml:space="preserve"> x </m:t>
        </m:r>
        <m:d>
          <m:dPr>
            <m:ctrlPr>
              <w:rPr>
                <w:rFonts w:ascii="Cambria Math" w:eastAsia="Malgun Gothic" w:hAnsi="Cambria Math"/>
                <w:noProof/>
                <w:color w:val="FF0000"/>
                <w:lang w:eastAsia="ko-KR"/>
              </w:rPr>
            </m:ctrlPr>
          </m:dPr>
          <m:e>
            <m:r>
              <w:rPr>
                <w:rFonts w:ascii="Cambria Math" w:eastAsia="Malgun Gothic" w:hAnsi="Cambria Math"/>
                <w:noProof/>
                <w:color w:val="FF0000"/>
                <w:lang w:eastAsia="ko-KR"/>
              </w:rPr>
              <m:t>ArbitraryPeriodicity</m:t>
            </m:r>
            <m:d>
              <m:dPr>
                <m:begChr m:val="["/>
                <m:endChr m:val="]"/>
                <m:ctrlPr>
                  <w:rPr>
                    <w:rFonts w:ascii="Cambria Math" w:eastAsia="Malgun Gothic" w:hAnsi="Cambria Math"/>
                    <w:noProof/>
                    <w:color w:val="FF0000"/>
                    <w:lang w:eastAsia="ko-KR"/>
                  </w:rPr>
                </m:ctrlPr>
              </m:dPr>
              <m:e>
                <m:r>
                  <w:rPr>
                    <w:rFonts w:ascii="Cambria Math" w:eastAsia="Malgun Gothic" w:hAnsi="Cambria Math"/>
                    <w:noProof/>
                    <w:color w:val="FF0000"/>
                    <w:lang w:eastAsia="ko-KR"/>
                  </w:rPr>
                  <m:t>ms</m:t>
                </m:r>
              </m:e>
            </m:d>
            <m:r>
              <m:rPr>
                <m:sty m:val="p"/>
              </m:rPr>
              <w:rPr>
                <w:rFonts w:ascii="Cambria Math" w:eastAsia="Malgun Gothic" w:hAnsi="Cambria Math"/>
                <w:noProof/>
                <w:color w:val="FF0000"/>
                <w:lang w:eastAsia="ko-KR"/>
              </w:rPr>
              <m:t xml:space="preserve">– </m:t>
            </m:r>
            <m:r>
              <w:rPr>
                <w:rFonts w:ascii="Cambria Math" w:eastAsia="Malgun Gothic" w:hAnsi="Cambria Math"/>
                <w:noProof/>
                <w:color w:val="FF0000"/>
                <w:lang w:eastAsia="ko-KR"/>
              </w:rPr>
              <m:t>Periodicity</m:t>
            </m:r>
            <m:d>
              <m:dPr>
                <m:begChr m:val="["/>
                <m:endChr m:val="]"/>
                <m:ctrlPr>
                  <w:rPr>
                    <w:rFonts w:ascii="Cambria Math" w:eastAsia="Malgun Gothic" w:hAnsi="Cambria Math"/>
                    <w:noProof/>
                    <w:color w:val="FF0000"/>
                    <w:lang w:eastAsia="ko-KR"/>
                  </w:rPr>
                </m:ctrlPr>
              </m:dPr>
              <m:e>
                <m:r>
                  <m:rPr>
                    <m:sty m:val="p"/>
                  </m:rPr>
                  <w:rPr>
                    <w:rFonts w:ascii="Cambria Math" w:eastAsia="Malgun Gothic" w:hAnsi="Cambria Math"/>
                    <w:noProof/>
                    <w:color w:val="FF0000"/>
                    <w:lang w:eastAsia="ko-KR"/>
                  </w:rPr>
                  <m:t>ms</m:t>
                </m:r>
              </m:e>
            </m:d>
          </m:e>
        </m:d>
        <m:r>
          <m:rPr>
            <m:sty m:val="p"/>
          </m:rPr>
          <w:rPr>
            <w:rFonts w:ascii="Cambria Math" w:eastAsia="Malgun Gothic" w:hAnsi="Cambria Math"/>
            <w:noProof/>
            <w:color w:val="FF0000"/>
            <w:lang w:eastAsia="ko-KR"/>
          </w:rPr>
          <m:t xml:space="preserve">– </m:t>
        </m:r>
        <m:sSub>
          <m:sSubPr>
            <m:ctrlPr>
              <w:rPr>
                <w:rFonts w:ascii="Cambria Math" w:eastAsia="Malgun Gothic" w:hAnsi="Cambria Math"/>
                <w:noProof/>
                <w:color w:val="FF0000"/>
                <w:lang w:eastAsia="ko-KR"/>
              </w:rPr>
            </m:ctrlPr>
          </m:sSubPr>
          <m:e>
            <m:r>
              <w:rPr>
                <w:rFonts w:ascii="Cambria Math" w:eastAsia="Malgun Gothic" w:hAnsi="Cambria Math"/>
                <w:noProof/>
                <w:color w:val="FF0000"/>
                <w:lang w:eastAsia="ko-KR"/>
              </w:rPr>
              <m:t>M</m:t>
            </m:r>
          </m:e>
          <m:sub>
            <m:r>
              <w:rPr>
                <w:rFonts w:ascii="Cambria Math" w:eastAsia="Malgun Gothic" w:hAnsi="Cambria Math"/>
                <w:noProof/>
                <w:color w:val="FF0000"/>
                <w:lang w:eastAsia="ko-KR"/>
              </w:rPr>
              <m:t>N</m:t>
            </m:r>
            <m:r>
              <m:rPr>
                <m:sty m:val="p"/>
              </m:rPr>
              <w:rPr>
                <w:rFonts w:ascii="Cambria Math" w:eastAsia="Malgun Gothic" w:hAnsi="Cambria Math"/>
                <w:noProof/>
                <w:color w:val="FF0000"/>
                <w:lang w:eastAsia="ko-KR"/>
              </w:rPr>
              <m:t>-1</m:t>
            </m:r>
          </m:sub>
        </m:sSub>
        <m:r>
          <m:rPr>
            <m:sty m:val="p"/>
          </m:rPr>
          <w:rPr>
            <w:rFonts w:ascii="Cambria Math" w:eastAsia="Malgun Gothic" w:hAnsi="Cambria Math"/>
            <w:noProof/>
            <w:color w:val="FF0000"/>
            <w:lang w:eastAsia="ko-KR"/>
          </w:rPr>
          <m:t xml:space="preserve"> x </m:t>
        </m:r>
        <m:r>
          <w:rPr>
            <w:rFonts w:ascii="Cambria Math" w:eastAsia="Malgun Gothic" w:hAnsi="Cambria Math"/>
            <w:noProof/>
            <w:color w:val="FF0000"/>
            <w:lang w:eastAsia="ko-KR"/>
          </w:rPr>
          <m:t>Shift</m:t>
        </m:r>
        <m:d>
          <m:dPr>
            <m:begChr m:val="["/>
            <m:endChr m:val="]"/>
            <m:ctrlPr>
              <w:rPr>
                <w:rFonts w:ascii="Cambria Math" w:eastAsia="Malgun Gothic" w:hAnsi="Cambria Math"/>
                <w:noProof/>
                <w:color w:val="FF0000"/>
                <w:lang w:eastAsia="ko-KR"/>
              </w:rPr>
            </m:ctrlPr>
          </m:dPr>
          <m:e>
            <m:r>
              <w:rPr>
                <w:rFonts w:ascii="Cambria Math" w:eastAsia="Malgun Gothic" w:hAnsi="Cambria Math"/>
                <w:noProof/>
                <w:color w:val="FF0000"/>
                <w:lang w:eastAsia="ko-KR"/>
              </w:rPr>
              <m:t>ms</m:t>
            </m:r>
          </m:e>
        </m:d>
        <m:d>
          <m:dPr>
            <m:begChr m:val="{"/>
            <m:endChr m:val=""/>
            <m:ctrlPr>
              <w:rPr>
                <w:rFonts w:ascii="Cambria Math" w:eastAsia="Malgun Gothic" w:hAnsi="Cambria Math"/>
                <w:noProof/>
                <w:color w:val="FF0000"/>
                <w:lang w:eastAsia="ko-KR"/>
              </w:rPr>
            </m:ctrlPr>
          </m:dPr>
          <m:e>
            <m:eqArr>
              <m:eqArrPr>
                <m:ctrlPr>
                  <w:rPr>
                    <w:rFonts w:ascii="Cambria Math" w:eastAsia="Malgun Gothic" w:hAnsi="Cambria Math"/>
                    <w:noProof/>
                    <w:color w:val="FF0000"/>
                    <w:lang w:eastAsia="ko-KR"/>
                  </w:rPr>
                </m:ctrlPr>
              </m:eqArrPr>
              <m:e>
                <m:r>
                  <m:rPr>
                    <m:sty m:val="p"/>
                  </m:rPr>
                  <w:rPr>
                    <w:rFonts w:ascii="Cambria Math" w:eastAsia="Malgun Gothic" w:hAnsi="Cambria Math"/>
                    <w:noProof/>
                    <w:color w:val="FF0000"/>
                    <w:lang w:eastAsia="ko-KR"/>
                  </w:rPr>
                  <m:t xml:space="preserve">&gt;0                  ,  &amp; </m:t>
                </m:r>
                <m:r>
                  <w:rPr>
                    <w:rFonts w:ascii="Cambria Math" w:eastAsia="Malgun Gothic" w:hAnsi="Cambria Math"/>
                    <w:noProof/>
                    <w:color w:val="FF0000"/>
                    <w:lang w:eastAsia="ko-KR"/>
                  </w:rPr>
                  <m:t>Shift</m:t>
                </m:r>
                <m:r>
                  <m:rPr>
                    <m:sty m:val="p"/>
                  </m:rPr>
                  <w:rPr>
                    <w:rFonts w:ascii="Cambria Math" w:eastAsia="Malgun Gothic" w:hAnsi="Cambria Math"/>
                    <w:noProof/>
                    <w:color w:val="FF0000"/>
                    <w:lang w:eastAsia="ko-KR"/>
                  </w:rPr>
                  <m:t>&gt;0</m:t>
                </m:r>
              </m:e>
              <m:e>
                <m:r>
                  <m:rPr>
                    <m:sty m:val="p"/>
                  </m:rPr>
                  <w:rPr>
                    <w:rFonts w:ascii="Cambria Math" w:eastAsia="Malgun Gothic" w:hAnsi="Cambria Math"/>
                    <w:noProof/>
                    <w:color w:val="FF0000"/>
                    <w:lang w:eastAsia="ko-KR"/>
                  </w:rPr>
                  <m:t>≤</m:t>
                </m:r>
                <m:r>
                  <m:rPr>
                    <m:sty m:val="p"/>
                  </m:rPr>
                  <w:rPr>
                    <w:rFonts w:ascii="Cambria Math" w:hAnsi="Cambria Math"/>
                    <w:color w:val="FF0000"/>
                  </w:rPr>
                  <m:t xml:space="preserve"> </m:t>
                </m:r>
                <m:r>
                  <w:rPr>
                    <w:rFonts w:ascii="Cambria Math" w:eastAsia="Malgun Gothic" w:hAnsi="Cambria Math"/>
                    <w:noProof/>
                    <w:color w:val="FF0000"/>
                    <w:lang w:eastAsia="ko-KR"/>
                  </w:rPr>
                  <m:t>Shift</m:t>
                </m:r>
                <m:d>
                  <m:dPr>
                    <m:begChr m:val="["/>
                    <m:endChr m:val="]"/>
                    <m:ctrlPr>
                      <w:rPr>
                        <w:rFonts w:ascii="Cambria Math" w:eastAsia="Malgun Gothic" w:hAnsi="Cambria Math"/>
                        <w:noProof/>
                        <w:color w:val="FF0000"/>
                        <w:lang w:eastAsia="ko-KR"/>
                      </w:rPr>
                    </m:ctrlPr>
                  </m:dPr>
                  <m:e>
                    <m:r>
                      <w:rPr>
                        <w:rFonts w:ascii="Cambria Math" w:eastAsia="Malgun Gothic" w:hAnsi="Cambria Math"/>
                        <w:noProof/>
                        <w:color w:val="FF0000"/>
                        <w:lang w:eastAsia="ko-KR"/>
                      </w:rPr>
                      <m:t>ms</m:t>
                    </m:r>
                  </m:e>
                </m:d>
                <m:r>
                  <m:rPr>
                    <m:sty m:val="p"/>
                  </m:rPr>
                  <w:rPr>
                    <w:rFonts w:ascii="Cambria Math" w:eastAsia="Malgun Gothic" w:hAnsi="Cambria Math"/>
                    <w:noProof/>
                    <w:color w:val="FF0000"/>
                    <w:lang w:eastAsia="ko-KR"/>
                  </w:rPr>
                  <m:t xml:space="preserve">,  &amp; </m:t>
                </m:r>
                <m:r>
                  <w:rPr>
                    <w:rFonts w:ascii="Cambria Math" w:eastAsia="Malgun Gothic" w:hAnsi="Cambria Math"/>
                    <w:noProof/>
                    <w:color w:val="FF0000"/>
                    <w:lang w:eastAsia="ko-KR"/>
                  </w:rPr>
                  <m:t>Shift</m:t>
                </m:r>
                <m:r>
                  <m:rPr>
                    <m:sty m:val="p"/>
                  </m:rPr>
                  <w:rPr>
                    <w:rFonts w:ascii="Cambria Math" w:eastAsia="Malgun Gothic" w:hAnsi="Cambria Math"/>
                    <w:noProof/>
                    <w:color w:val="FF0000"/>
                    <w:lang w:eastAsia="ko-KR"/>
                  </w:rPr>
                  <m:t>&lt;0</m:t>
                </m:r>
              </m:e>
            </m:eqArr>
          </m:e>
        </m:d>
      </m:oMath>
      <w:r w:rsidRPr="009A7986">
        <w:rPr>
          <w:rFonts w:eastAsia="Malgun Gothic"/>
          <w:noProof/>
          <w:color w:val="FF0000"/>
          <w:lang w:eastAsia="ko-KR"/>
        </w:rPr>
        <w:t xml:space="preserve">, </w:t>
      </w:r>
    </w:p>
    <w:p w14:paraId="262FCAFF" w14:textId="052B6CDC" w:rsidR="00E0115F" w:rsidRPr="009A7986" w:rsidRDefault="009A7986" w:rsidP="009A7986">
      <w:pPr>
        <w:rPr>
          <w:rFonts w:eastAsia="Malgun Gothic"/>
          <w:noProof/>
          <w:color w:val="FF0000"/>
          <w:lang w:eastAsia="ko-KR"/>
        </w:rPr>
      </w:pPr>
      <w:r w:rsidRPr="009A7986">
        <w:rPr>
          <w:rFonts w:eastAsia="Malgun Gothic"/>
          <w:i/>
          <w:noProof/>
          <w:color w:val="FF0000"/>
          <w:lang w:eastAsia="ko-KR"/>
        </w:rPr>
        <w:t>And where s</w:t>
      </w:r>
      <w:r w:rsidR="00E0115F" w:rsidRPr="009A7986">
        <w:rPr>
          <w:rFonts w:eastAsia="Malgun Gothic"/>
          <w:noProof/>
          <w:color w:val="FF0000"/>
          <w:lang w:eastAsia="ko-KR"/>
        </w:rPr>
        <w:t xml:space="preserve">ign of </w:t>
      </w:r>
      <w:r w:rsidR="00E0115F" w:rsidRPr="009A7986">
        <w:rPr>
          <w:rFonts w:eastAsia="Malgun Gothic"/>
          <w:i/>
          <w:noProof/>
          <w:color w:val="FF0000"/>
          <w:lang w:eastAsia="ko-KR"/>
        </w:rPr>
        <w:t xml:space="preserve">Shift </w:t>
      </w:r>
      <w:r w:rsidR="00E0115F" w:rsidRPr="009A7986">
        <w:rPr>
          <w:rFonts w:eastAsia="Malgun Gothic"/>
          <w:noProof/>
          <w:color w:val="FF0000"/>
          <w:lang w:eastAsia="ko-KR"/>
        </w:rPr>
        <w:t>is sgn(</w:t>
      </w:r>
      <w:r w:rsidR="00E0115F" w:rsidRPr="009A7986">
        <w:rPr>
          <w:rFonts w:eastAsia="Malgun Gothic"/>
          <w:i/>
          <w:noProof/>
          <w:color w:val="FF0000"/>
          <w:lang w:eastAsia="ko-KR"/>
        </w:rPr>
        <w:t>ArbitraryPeriodicity[ms]</w:t>
      </w:r>
      <w:r w:rsidR="00E0115F" w:rsidRPr="009A7986">
        <w:rPr>
          <w:rFonts w:eastAsia="Malgun Gothic"/>
          <w:noProof/>
          <w:color w:val="FF0000"/>
          <w:lang w:eastAsia="ko-KR"/>
        </w:rPr>
        <w:t xml:space="preserve"> – </w:t>
      </w:r>
      <w:r w:rsidR="00E0115F" w:rsidRPr="009A7986">
        <w:rPr>
          <w:rFonts w:eastAsia="Malgun Gothic"/>
          <w:i/>
          <w:noProof/>
          <w:color w:val="FF0000"/>
          <w:lang w:eastAsia="ko-KR"/>
        </w:rPr>
        <w:t>Periodicity[ms]</w:t>
      </w:r>
      <w:r w:rsidR="00E0115F" w:rsidRPr="009A7986">
        <w:rPr>
          <w:rFonts w:eastAsia="Malgun Gothic"/>
          <w:noProof/>
          <w:color w:val="FF0000"/>
          <w:lang w:eastAsia="ko-KR"/>
        </w:rPr>
        <w:t>)</w:t>
      </w:r>
    </w:p>
    <w:p w14:paraId="2D160D4C" w14:textId="77777777" w:rsidR="006E095F" w:rsidRDefault="006E095F" w:rsidP="001F00B9">
      <w:pPr>
        <w:tabs>
          <w:tab w:val="left" w:pos="720"/>
        </w:tabs>
        <w:rPr>
          <w:rFonts w:eastAsia="Malgun Gothic"/>
          <w:noProof/>
          <w:lang w:eastAsia="ko-KR"/>
        </w:rPr>
      </w:pPr>
    </w:p>
    <w:p w14:paraId="650E2870" w14:textId="372F4FD2" w:rsidR="001F00B9" w:rsidRPr="006E095F" w:rsidRDefault="009A7986" w:rsidP="001F00B9">
      <w:pPr>
        <w:tabs>
          <w:tab w:val="left" w:pos="720"/>
        </w:tabs>
      </w:pPr>
      <w:r w:rsidRPr="006E095F">
        <w:rPr>
          <w:rFonts w:eastAsia="Malgun Gothic"/>
          <w:noProof/>
          <w:lang w:eastAsia="ko-KR"/>
        </w:rPr>
        <w:t xml:space="preserve">Alternatively, i.e. with option A2 from Table 1. </w:t>
      </w:r>
      <w:r w:rsidR="006E095F" w:rsidRPr="006E095F">
        <w:rPr>
          <w:rFonts w:eastAsia="Malgun Gothic"/>
          <w:noProof/>
          <w:lang w:eastAsia="ko-KR"/>
        </w:rPr>
        <w:t xml:space="preserve">The reoccurence of shifting may be indicate with a configured bitmap,I .e. by a </w:t>
      </w:r>
      <w:r w:rsidR="001F00B9" w:rsidRPr="006E095F">
        <w:rPr>
          <w:noProof/>
        </w:rPr>
        <w:t xml:space="preserve">binary shifting pattern with length of </w:t>
      </w:r>
      <w:r w:rsidR="001F00B9" w:rsidRPr="006E095F">
        <w:rPr>
          <w:i/>
          <w:noProof/>
        </w:rPr>
        <w:t>Shift_M</w:t>
      </w:r>
      <w:r w:rsidR="001F00B9" w:rsidRPr="006E095F">
        <w:rPr>
          <w:noProof/>
        </w:rPr>
        <w:t>, where shifting is indicated by ‘1’.</w:t>
      </w:r>
      <w:r w:rsidR="0047355E" w:rsidRPr="006E095F">
        <w:rPr>
          <w:noProof/>
        </w:rPr>
        <w:t>)</w:t>
      </w:r>
      <w:r w:rsidR="006E095F" w:rsidRPr="006E095F">
        <w:rPr>
          <w:noProof/>
        </w:rPr>
        <w:t>. In this case, t</w:t>
      </w:r>
      <w:r w:rsidR="001F00B9" w:rsidRPr="006E095F">
        <w:rPr>
          <w:noProof/>
        </w:rPr>
        <w:t xml:space="preserve">he shifting pattern is repeated cyclically with period of </w:t>
      </w:r>
      <w:r w:rsidR="001F00B9" w:rsidRPr="006E095F">
        <w:rPr>
          <w:i/>
          <w:noProof/>
        </w:rPr>
        <w:t>Shift_</w:t>
      </w:r>
      <w:r w:rsidR="001F00B9" w:rsidRPr="006E095F">
        <w:rPr>
          <w:rFonts w:eastAsia="Malgun Gothic"/>
          <w:i/>
          <w:noProof/>
          <w:lang w:eastAsia="ko-KR"/>
        </w:rPr>
        <w:t>N</w:t>
      </w:r>
      <w:r w:rsidR="001F00B9" w:rsidRPr="006E095F">
        <w:rPr>
          <w:rFonts w:eastAsia="Malgun Gothic"/>
          <w:noProof/>
          <w:lang w:eastAsia="ko-KR"/>
        </w:rPr>
        <w:t xml:space="preserve"> × </w:t>
      </w:r>
      <w:r w:rsidR="001F00B9" w:rsidRPr="006E095F">
        <w:rPr>
          <w:rFonts w:eastAsia="Malgun Gothic"/>
          <w:i/>
          <w:noProof/>
          <w:lang w:eastAsia="ko-KR"/>
        </w:rPr>
        <w:t>periodicity + Shift_</w:t>
      </w:r>
      <w:r w:rsidR="001F00B9" w:rsidRPr="006E095F">
        <w:rPr>
          <w:rFonts w:eastAsia="Malgun Gothic"/>
          <w:noProof/>
          <w:lang w:eastAsia="ko-KR"/>
        </w:rPr>
        <w:t>M ×</w:t>
      </w:r>
      <w:r w:rsidR="001F00B9" w:rsidRPr="006E095F">
        <w:rPr>
          <w:rFonts w:eastAsia="Malgun Gothic"/>
          <w:i/>
          <w:noProof/>
          <w:lang w:eastAsia="ko-KR"/>
        </w:rPr>
        <w:t xml:space="preserve"> Shift</w:t>
      </w:r>
      <w:r w:rsidR="001F00B9" w:rsidRPr="006E095F">
        <w:rPr>
          <w:rFonts w:eastAsia="Malgun Gothic"/>
          <w:noProof/>
          <w:lang w:eastAsia="ko-KR"/>
        </w:rPr>
        <w:t>, where SFN</w:t>
      </w:r>
      <w:r w:rsidR="001F00B9" w:rsidRPr="006E095F">
        <w:rPr>
          <w:rFonts w:eastAsia="Malgun Gothic"/>
          <w:noProof/>
          <w:vertAlign w:val="subscript"/>
          <w:lang w:eastAsia="ko-KR"/>
        </w:rPr>
        <w:t>start time</w:t>
      </w:r>
      <w:r w:rsidR="001F00B9" w:rsidRPr="006E095F">
        <w:rPr>
          <w:rFonts w:eastAsia="Malgun Gothic"/>
          <w:noProof/>
          <w:lang w:eastAsia="ko-KR"/>
        </w:rPr>
        <w:t>, slot</w:t>
      </w:r>
      <w:r w:rsidR="001F00B9" w:rsidRPr="006E095F">
        <w:rPr>
          <w:rFonts w:eastAsia="Malgun Gothic"/>
          <w:noProof/>
          <w:vertAlign w:val="subscript"/>
          <w:lang w:eastAsia="ko-KR"/>
        </w:rPr>
        <w:t>start time</w:t>
      </w:r>
      <w:r w:rsidR="001F00B9" w:rsidRPr="006E095F">
        <w:rPr>
          <w:rFonts w:eastAsia="Malgun Gothic"/>
          <w:noProof/>
          <w:lang w:eastAsia="ko-KR"/>
        </w:rPr>
        <w:t>, and symbol</w:t>
      </w:r>
      <w:r w:rsidR="001F00B9" w:rsidRPr="006E095F">
        <w:rPr>
          <w:rFonts w:eastAsia="Malgun Gothic"/>
          <w:noProof/>
          <w:vertAlign w:val="subscript"/>
          <w:lang w:eastAsia="ko-KR"/>
        </w:rPr>
        <w:t>start time</w:t>
      </w:r>
      <w:r w:rsidR="001F00B9" w:rsidRPr="006E095F">
        <w:rPr>
          <w:rFonts w:eastAsia="Malgun Gothic"/>
          <w:noProof/>
          <w:lang w:eastAsia="ko-KR"/>
        </w:rPr>
        <w:t xml:space="preserve"> are the SFN, slot, and symbol, respectively, of the transmission opportunity of PUSCH where the configured uplink grant is aligned with the arrival of data burst with arbitrary periodicity.</w:t>
      </w:r>
    </w:p>
    <w:p w14:paraId="3621ADC3" w14:textId="3D81F0C8" w:rsidR="004E3F05" w:rsidRDefault="00135951">
      <w:pPr>
        <w:pStyle w:val="Heading3"/>
        <w:rPr>
          <w:lang w:val="en-US"/>
        </w:rPr>
      </w:pPr>
      <w:r>
        <w:rPr>
          <w:lang w:val="en-US"/>
        </w:rPr>
        <w:t>3.1.2 Solutions based on selection from configured SPS/CG allocations</w:t>
      </w:r>
    </w:p>
    <w:p w14:paraId="4513DD11" w14:textId="2558EAAE" w:rsidR="004E3F05" w:rsidRDefault="00135951">
      <w:r>
        <w:t xml:space="preserve">Solutions in </w:t>
      </w:r>
      <w:r>
        <w:t xml:space="preserve">Category B </w:t>
      </w:r>
      <w:r w:rsidR="00DE5897">
        <w:t xml:space="preserve">and C </w:t>
      </w:r>
      <w:r>
        <w:t xml:space="preserve">are based on selection of appropriate SPS/CG resource from a set of configured resources to better meet with the arbitrary TSC service periodicity. The selection may be based on rule to select next available resource after arrival of TSC message [4,7] (Option B1) or selection is given to UE as cyclic bitmap as proposed in [4,6] (Option B2). In general, configured resources have a higher SPS/CG periodicity than </w:t>
      </w:r>
      <w:r>
        <w:rPr>
          <w:i/>
        </w:rPr>
        <w:t>TSC periodicity</w:t>
      </w:r>
      <w:r>
        <w:t xml:space="preserve">. </w:t>
      </w:r>
    </w:p>
    <w:p w14:paraId="2614BD1A" w14:textId="5F2FDC9E" w:rsidR="004E3F05" w:rsidRDefault="00135951">
      <w:r>
        <w:t xml:space="preserve">As an example, with the same 104Hz </w:t>
      </w:r>
      <w:r w:rsidR="00DE5897">
        <w:t xml:space="preserve">or 13ms </w:t>
      </w:r>
      <w:r>
        <w:t xml:space="preserve">TSC periodicity as used for category A, category B </w:t>
      </w:r>
      <w:r w:rsidR="00156E9B">
        <w:t>or</w:t>
      </w:r>
      <w:r w:rsidR="00DE5897">
        <w:t xml:space="preserve"> C </w:t>
      </w:r>
      <w:r>
        <w:t xml:space="preserve">needs to configure SPS/CG resources with 0.5ms SPS/CG </w:t>
      </w:r>
      <w:r w:rsidR="00F108C2">
        <w:t xml:space="preserve">granularity </w:t>
      </w:r>
      <w:r>
        <w:t xml:space="preserve">and select 13 </w:t>
      </w:r>
      <w:r w:rsidR="00DE5897">
        <w:t xml:space="preserve">or </w:t>
      </w:r>
      <w:r>
        <w:t xml:space="preserve">occurrences </w:t>
      </w:r>
      <w:r>
        <w:t xml:space="preserve">out of 250 </w:t>
      </w:r>
      <w:r w:rsidR="00DE5897">
        <w:t xml:space="preserve">or </w:t>
      </w:r>
      <w:r>
        <w:t>configured SPS/CG resources, for the same alignment delay as with category A. In this case an “overbooking ratio” equals to 250/13.</w:t>
      </w:r>
      <w:r w:rsidR="00F231FF">
        <w:t xml:space="preserve"> Category B may re-use over-booked resources if it relies on deterministic timing behaviour from UEs and that e.g. jitter would not cause any uncontrolled collisions. </w:t>
      </w:r>
    </w:p>
    <w:p w14:paraId="04A765D1" w14:textId="77777777" w:rsidR="004E3F05" w:rsidRDefault="00135951">
      <w:pPr>
        <w:pStyle w:val="Heading2"/>
      </w:pPr>
      <w:r>
        <w:t>3.2</w:t>
      </w:r>
      <w:r>
        <w:tab/>
        <w:t>Comparison criteria</w:t>
      </w:r>
    </w:p>
    <w:p w14:paraId="24F9AE76" w14:textId="77777777" w:rsidR="004E3F05" w:rsidRDefault="00135951">
      <w:r>
        <w:t>This section defines a set of KPIs, which are then used as criteria to compare the proposed solutions.</w:t>
      </w:r>
    </w:p>
    <w:p w14:paraId="19A6ACCD" w14:textId="77777777" w:rsidR="004E3F05" w:rsidRDefault="00135951">
      <w:pPr>
        <w:pStyle w:val="Heading3"/>
      </w:pPr>
      <w:r>
        <w:t>3.2.1 Performance</w:t>
      </w:r>
    </w:p>
    <w:p w14:paraId="2A3FF656" w14:textId="1D40FCFA" w:rsidR="004E3F05" w:rsidRDefault="00135951">
      <w:r>
        <w:t xml:space="preserve">For a proposed solution to </w:t>
      </w:r>
      <w:r>
        <w:t xml:space="preserve">efficiently handle </w:t>
      </w:r>
      <w:r w:rsidR="004655C5">
        <w:t xml:space="preserve">arbitrary TSC </w:t>
      </w:r>
      <w:r>
        <w:t xml:space="preserve">periodicities, it should cope with wide range of arbitrary TSC service periodicities ranging, e.g., 0.5ms -100ms or 10/s - 2000/s defined as in time or frequency, respectively.  At the same time signalling overhead should be kept minimal with mitigation for general constraints, e.g. on slot boundaries, TDD switching between UL and DL and multiplexing of multiple TSC users / flows. </w:t>
      </w:r>
      <w:r w:rsidR="00D7181F">
        <w:t xml:space="preserve">The peak alignment delay of SPS/CG should target to be not more than 50% of TSC periodicity. </w:t>
      </w:r>
    </w:p>
    <w:p w14:paraId="72DA0E1E" w14:textId="77777777" w:rsidR="004E3F05" w:rsidRDefault="00135951">
      <w:r>
        <w:t>The set of performance and criteria we will use for the analysis are the following:</w:t>
      </w:r>
    </w:p>
    <w:p w14:paraId="325C7CAD" w14:textId="3B1D9131" w:rsidR="004E3F05" w:rsidRDefault="00135951" w:rsidP="009235DA">
      <w:pPr>
        <w:pStyle w:val="ListParagraph"/>
        <w:numPr>
          <w:ilvl w:val="0"/>
          <w:numId w:val="13"/>
        </w:numPr>
      </w:pPr>
      <w:r>
        <w:t xml:space="preserve">Flexibility and efficiency to support arbitrary periodicities with low alignment delay </w:t>
      </w:r>
      <w:r w:rsidR="00C72FA6">
        <w:t>(3.3.1)</w:t>
      </w:r>
    </w:p>
    <w:p w14:paraId="2127C25B" w14:textId="1B0A698B" w:rsidR="004E3F05" w:rsidRDefault="00135951" w:rsidP="009235DA">
      <w:pPr>
        <w:pStyle w:val="ListParagraph"/>
        <w:numPr>
          <w:ilvl w:val="0"/>
          <w:numId w:val="13"/>
        </w:numPr>
      </w:pPr>
      <w:r>
        <w:t>Single-flow signalling overhead, including the reconfiguration message and reconfiguration periodicity</w:t>
      </w:r>
      <w:r w:rsidR="00C72FA6">
        <w:t xml:space="preserve"> (3.3.2)</w:t>
      </w:r>
    </w:p>
    <w:p w14:paraId="0D57D7CE" w14:textId="5285C050" w:rsidR="004E3F05" w:rsidRDefault="00135951" w:rsidP="009235DA">
      <w:pPr>
        <w:pStyle w:val="ListParagraph"/>
        <w:numPr>
          <w:ilvl w:val="0"/>
          <w:numId w:val="13"/>
        </w:numPr>
      </w:pPr>
      <w:r>
        <w:t xml:space="preserve">Mitigation of resource constraints, e.g.: slot boundaries, TDD, multiplexing </w:t>
      </w:r>
      <w:r w:rsidR="00C72FA6">
        <w:t>(3.3.3)</w:t>
      </w:r>
    </w:p>
    <w:p w14:paraId="7DFEBCE5" w14:textId="77777777" w:rsidR="004E3F05" w:rsidRDefault="00135951">
      <w:r>
        <w:t>The peak alignment delay is selected as the main KPI to be optimized in order to have the common reference point for comparison.</w:t>
      </w:r>
    </w:p>
    <w:p w14:paraId="30A18CD6" w14:textId="77777777" w:rsidR="004E3F05" w:rsidRDefault="00135951">
      <w:pPr>
        <w:pStyle w:val="Heading3"/>
      </w:pPr>
      <w:r>
        <w:t>3.2.2 Complexity</w:t>
      </w:r>
    </w:p>
    <w:p w14:paraId="40A4BA18" w14:textId="318C4A85" w:rsidR="004E3F05" w:rsidRDefault="00135951">
      <w:r>
        <w:t xml:space="preserve">For a proposed solution to efficiently handle </w:t>
      </w:r>
      <w:r w:rsidR="00D7181F">
        <w:t xml:space="preserve">arbitrary TSC </w:t>
      </w:r>
      <w:r>
        <w:t xml:space="preserve">periodicities, it should be unambiguous and simple, i.e., the complexity of implementing the scheme should be low, for both the device and the network. The estimated effort to get the solution standardized should meet with R16 timeframe. </w:t>
      </w:r>
    </w:p>
    <w:p w14:paraId="0A840815" w14:textId="77777777" w:rsidR="004E3F05" w:rsidRDefault="00135951">
      <w:r>
        <w:t>The set complexity criteria we will use for the analysis are the following:</w:t>
      </w:r>
    </w:p>
    <w:p w14:paraId="0636CD8C" w14:textId="6E13A163" w:rsidR="004E3F05" w:rsidRDefault="00135951" w:rsidP="00C72FA6">
      <w:pPr>
        <w:pStyle w:val="ListParagraph"/>
        <w:numPr>
          <w:ilvl w:val="0"/>
          <w:numId w:val="4"/>
        </w:numPr>
      </w:pPr>
      <w:r>
        <w:t>Device complexity of supporting this solution</w:t>
      </w:r>
      <w:r w:rsidR="00C72FA6">
        <w:t xml:space="preserve"> (3.3.4)</w:t>
      </w:r>
    </w:p>
    <w:p w14:paraId="7F782502" w14:textId="02234157" w:rsidR="004E3F05" w:rsidRDefault="00135951">
      <w:pPr>
        <w:pStyle w:val="ListParagraph"/>
        <w:numPr>
          <w:ilvl w:val="0"/>
          <w:numId w:val="4"/>
        </w:numPr>
      </w:pPr>
      <w:r>
        <w:t>Scheduler complexity when the scheme is used to serve multiple TSC flows</w:t>
      </w:r>
      <w:r w:rsidR="00C72FA6">
        <w:t xml:space="preserve"> (3.3.5)</w:t>
      </w:r>
    </w:p>
    <w:p w14:paraId="3F30C3EC" w14:textId="1D8E4926" w:rsidR="004E3F05" w:rsidRDefault="00135951">
      <w:pPr>
        <w:pStyle w:val="ListParagraph"/>
        <w:numPr>
          <w:ilvl w:val="0"/>
          <w:numId w:val="4"/>
        </w:numPr>
      </w:pPr>
      <w:r>
        <w:t>Effort of standardizing the solution in the R16 framework</w:t>
      </w:r>
      <w:r w:rsidR="00C72FA6">
        <w:t xml:space="preserve"> (3.3.6)</w:t>
      </w:r>
    </w:p>
    <w:p w14:paraId="4CD91ADC" w14:textId="77777777" w:rsidR="004E3F05" w:rsidRDefault="00135951">
      <w:pPr>
        <w:pStyle w:val="Heading2"/>
      </w:pPr>
      <w:r>
        <w:t>3.3</w:t>
      </w:r>
      <w:r>
        <w:tab/>
        <w:t>Evaluation and comparison</w:t>
      </w:r>
    </w:p>
    <w:p w14:paraId="3FE859DD" w14:textId="77777777" w:rsidR="004E3F05" w:rsidRDefault="00135951">
      <w:r>
        <w:t>The proposed solutions are first evaluated per criteria and eventually the outcome is compared in Table 1.</w:t>
      </w:r>
    </w:p>
    <w:p w14:paraId="4FCC5B5C" w14:textId="1F4629C3" w:rsidR="004E3F05" w:rsidRDefault="00135951">
      <w:pPr>
        <w:pStyle w:val="Heading3"/>
      </w:pPr>
      <w:r>
        <w:t>3.3.1 Flexibility to support arbitrary periodicities with high resource efficiency</w:t>
      </w:r>
    </w:p>
    <w:p w14:paraId="6DD9BDB9" w14:textId="679C6413" w:rsidR="004E3F05" w:rsidRDefault="00135951">
      <w:r>
        <w:t>Solutions in Category A provide inherently very high resource efficiency and can support wide range of TSC service periodicities given in message time interval or frequency. The peak alignment delay is limited to the shifting step size. Figures below illustrate relative peak alignment delay</w:t>
      </w:r>
      <w:r w:rsidR="00865ECB">
        <w:t xml:space="preserve"> (Figures 1, 2)</w:t>
      </w:r>
      <w:r>
        <w:t xml:space="preserve"> and length of shifting pattern</w:t>
      </w:r>
      <w:r w:rsidR="00865ECB">
        <w:t xml:space="preserve"> (Figures 3, 4)</w:t>
      </w:r>
      <w:r>
        <w:t xml:space="preserve"> for TSC periodicities of 2Hz - 2kHz with increment of 1Hz with 30kHz SCS for FDD and in case of TDD with </w:t>
      </w:r>
      <w:r>
        <w:rPr>
          <w:i/>
          <w:iCs/>
          <w:lang w:val="en-US"/>
        </w:rPr>
        <w:t>ul-DL-</w:t>
      </w:r>
      <w:proofErr w:type="spellStart"/>
      <w:r>
        <w:rPr>
          <w:i/>
          <w:iCs/>
          <w:lang w:val="en-US"/>
        </w:rPr>
        <w:t>TransmissionPeriodicity</w:t>
      </w:r>
      <w:proofErr w:type="spellEnd"/>
      <w:r>
        <w:rPr>
          <w:iCs/>
          <w:lang w:val="en-US"/>
        </w:rPr>
        <w:t xml:space="preserve"> of </w:t>
      </w:r>
      <w:r>
        <w:t xml:space="preserve">0.5ms. </w:t>
      </w:r>
    </w:p>
    <w:p w14:paraId="413D67B1" w14:textId="61BCE9F7" w:rsidR="004E3F05" w:rsidRDefault="00876B92">
      <w:pPr>
        <w:sectPr w:rsidR="004E3F05">
          <w:headerReference w:type="even" r:id="rId13"/>
          <w:headerReference w:type="default" r:id="rId14"/>
          <w:footerReference w:type="even" r:id="rId15"/>
          <w:footerReference w:type="default" r:id="rId16"/>
          <w:headerReference w:type="first" r:id="rId17"/>
          <w:footerReference w:type="first" r:id="rId18"/>
          <w:pgSz w:w="11906" w:h="16838"/>
          <w:pgMar w:top="1416" w:right="1133" w:bottom="1133" w:left="1133" w:header="850" w:footer="340" w:gutter="0"/>
          <w:cols w:space="720"/>
          <w:formProt w:val="0"/>
          <w:docGrid w:linePitch="272" w:charSpace="8192"/>
        </w:sectPr>
      </w:pPr>
      <w:r>
        <w:t>C</w:t>
      </w:r>
      <w:r w:rsidR="005C5575">
        <w:t>apability</w:t>
      </w:r>
      <w:r w:rsidR="00AB6EA0">
        <w:t xml:space="preserve"> to support integer multiple of 1ms periodicities up to 640ms </w:t>
      </w:r>
      <w:r>
        <w:t xml:space="preserve">with Category A </w:t>
      </w:r>
      <w:r w:rsidR="00AB6EA0">
        <w:t>is shown in Fig</w:t>
      </w:r>
      <w:r>
        <w:t xml:space="preserve">ure </w:t>
      </w:r>
      <w:r w:rsidR="00AB6EA0">
        <w:t>5.</w:t>
      </w:r>
      <w:r>
        <w:t xml:space="preserve"> </w:t>
      </w:r>
      <w:r w:rsidR="00AB6EA0">
        <w:t xml:space="preserve">  </w:t>
      </w:r>
      <w:r w:rsidR="005C5575">
        <w:t xml:space="preserve"> </w:t>
      </w:r>
      <w:r w:rsidR="00AB6EA0">
        <w:t xml:space="preserve"> </w:t>
      </w:r>
    </w:p>
    <w:p w14:paraId="6BBFB628" w14:textId="77777777" w:rsidR="004E3F05" w:rsidRDefault="00135951">
      <w:pPr>
        <w:keepNext/>
        <w:jc w:val="center"/>
      </w:pPr>
      <w:r>
        <w:rPr>
          <w:noProof/>
        </w:rPr>
        <w:drawing>
          <wp:inline distT="0" distB="0" distL="0" distR="0" wp14:anchorId="6F4CE0B8" wp14:editId="7355E183">
            <wp:extent cx="2879725" cy="2160270"/>
            <wp:effectExtent l="0" t="0" r="0" b="0"/>
            <wp:docPr id="1"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0"/>
                    <pic:cNvPicPr>
                      <a:picLocks noChangeAspect="1" noChangeArrowheads="1"/>
                    </pic:cNvPicPr>
                  </pic:nvPicPr>
                  <pic:blipFill>
                    <a:blip r:embed="rId19"/>
                    <a:stretch>
                      <a:fillRect/>
                    </a:stretch>
                  </pic:blipFill>
                  <pic:spPr bwMode="auto">
                    <a:xfrm>
                      <a:off x="0" y="0"/>
                      <a:ext cx="2879725" cy="2160270"/>
                    </a:xfrm>
                    <a:prstGeom prst="rect">
                      <a:avLst/>
                    </a:prstGeom>
                  </pic:spPr>
                </pic:pic>
              </a:graphicData>
            </a:graphic>
          </wp:inline>
        </w:drawing>
      </w:r>
      <w:r>
        <w:rPr>
          <w:noProof/>
        </w:rPr>
        <w:drawing>
          <wp:inline distT="0" distB="0" distL="0" distR="0" wp14:anchorId="40B9435E" wp14:editId="1E5A52D4">
            <wp:extent cx="2879725" cy="2160270"/>
            <wp:effectExtent l="0" t="0" r="0" b="0"/>
            <wp:docPr id="2"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7"/>
                    <pic:cNvPicPr>
                      <a:picLocks noChangeAspect="1" noChangeArrowheads="1"/>
                    </pic:cNvPicPr>
                  </pic:nvPicPr>
                  <pic:blipFill>
                    <a:blip r:embed="rId20"/>
                    <a:stretch>
                      <a:fillRect/>
                    </a:stretch>
                  </pic:blipFill>
                  <pic:spPr bwMode="auto">
                    <a:xfrm>
                      <a:off x="0" y="0"/>
                      <a:ext cx="2879725" cy="2160270"/>
                    </a:xfrm>
                    <a:prstGeom prst="rect">
                      <a:avLst/>
                    </a:prstGeom>
                  </pic:spPr>
                </pic:pic>
              </a:graphicData>
            </a:graphic>
          </wp:inline>
        </w:drawing>
      </w:r>
    </w:p>
    <w:p w14:paraId="34BC19F6" w14:textId="77777777" w:rsidR="004E3F05" w:rsidRDefault="00135951">
      <w:pPr>
        <w:jc w:val="center"/>
      </w:pPr>
      <w:r>
        <w:rPr>
          <w:i/>
          <w:iCs/>
        </w:rPr>
        <w:t xml:space="preserve">Figures </w:t>
      </w:r>
      <w:r>
        <w:rPr>
          <w:i/>
          <w:iCs/>
        </w:rPr>
        <w:fldChar w:fldCharType="begin"/>
      </w:r>
      <w:r>
        <w:rPr>
          <w:i/>
          <w:iCs/>
        </w:rPr>
        <w:instrText>SEQ Figure \* ARABIC</w:instrText>
      </w:r>
      <w:r>
        <w:rPr>
          <w:i/>
          <w:iCs/>
        </w:rPr>
        <w:fldChar w:fldCharType="separate"/>
      </w:r>
      <w:r w:rsidR="00640593">
        <w:rPr>
          <w:i/>
          <w:iCs/>
          <w:noProof/>
        </w:rPr>
        <w:t>1</w:t>
      </w:r>
      <w:r>
        <w:rPr>
          <w:i/>
          <w:iCs/>
        </w:rPr>
        <w:fldChar w:fldCharType="end"/>
      </w:r>
      <w:r>
        <w:rPr>
          <w:i/>
          <w:iCs/>
        </w:rPr>
        <w:t>,2 - Relative alignment delay vs TSC period [Hz] for FDD (left)  and TDD (right) with unde</w:t>
      </w:r>
      <w:r>
        <w:rPr>
          <w:i/>
          <w:iCs/>
        </w:rPr>
        <w:t>r</w:t>
      </w:r>
      <w:r>
        <w:rPr>
          <w:i/>
          <w:iCs/>
        </w:rPr>
        <w:t>laying Rel15 periodicities.</w:t>
      </w:r>
    </w:p>
    <w:p w14:paraId="2F3CCEE8" w14:textId="77777777" w:rsidR="004E3F05" w:rsidRDefault="00135951">
      <w:pPr>
        <w:keepNext/>
        <w:jc w:val="center"/>
      </w:pPr>
      <w:r>
        <w:rPr>
          <w:noProof/>
        </w:rPr>
        <w:drawing>
          <wp:inline distT="0" distB="0" distL="0" distR="0" wp14:anchorId="0A285527" wp14:editId="48576D3E">
            <wp:extent cx="2879725" cy="2160270"/>
            <wp:effectExtent l="0" t="0" r="0" b="0"/>
            <wp:docPr id="3"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8"/>
                    <pic:cNvPicPr>
                      <a:picLocks noChangeAspect="1" noChangeArrowheads="1"/>
                    </pic:cNvPicPr>
                  </pic:nvPicPr>
                  <pic:blipFill>
                    <a:blip r:embed="rId21"/>
                    <a:stretch>
                      <a:fillRect/>
                    </a:stretch>
                  </pic:blipFill>
                  <pic:spPr bwMode="auto">
                    <a:xfrm>
                      <a:off x="0" y="0"/>
                      <a:ext cx="2879725" cy="2160270"/>
                    </a:xfrm>
                    <a:prstGeom prst="rect">
                      <a:avLst/>
                    </a:prstGeom>
                  </pic:spPr>
                </pic:pic>
              </a:graphicData>
            </a:graphic>
          </wp:inline>
        </w:drawing>
      </w:r>
      <w:r>
        <w:rPr>
          <w:noProof/>
        </w:rPr>
        <w:drawing>
          <wp:inline distT="0" distB="0" distL="0" distR="0" wp14:anchorId="5D06C694" wp14:editId="67FCFA8C">
            <wp:extent cx="2879725" cy="2160270"/>
            <wp:effectExtent l="0" t="0" r="0" b="0"/>
            <wp:docPr id="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1"/>
                    <pic:cNvPicPr>
                      <a:picLocks noChangeAspect="1" noChangeArrowheads="1"/>
                    </pic:cNvPicPr>
                  </pic:nvPicPr>
                  <pic:blipFill>
                    <a:blip r:embed="rId22"/>
                    <a:stretch>
                      <a:fillRect/>
                    </a:stretch>
                  </pic:blipFill>
                  <pic:spPr bwMode="auto">
                    <a:xfrm>
                      <a:off x="0" y="0"/>
                      <a:ext cx="2879725" cy="2160270"/>
                    </a:xfrm>
                    <a:prstGeom prst="rect">
                      <a:avLst/>
                    </a:prstGeom>
                  </pic:spPr>
                </pic:pic>
              </a:graphicData>
            </a:graphic>
          </wp:inline>
        </w:drawing>
      </w:r>
    </w:p>
    <w:p w14:paraId="4ADA5A45" w14:textId="77777777" w:rsidR="004E3F05" w:rsidRDefault="00135951">
      <w:pPr>
        <w:jc w:val="center"/>
      </w:pPr>
      <w:bookmarkStart w:id="5" w:name="_Hlk19519780"/>
      <w:r>
        <w:rPr>
          <w:i/>
          <w:iCs/>
        </w:rPr>
        <w:t xml:space="preserve">Figures 3,4 - Length of bit pattern vs. TSC periodicity </w:t>
      </w:r>
      <w:bookmarkEnd w:id="5"/>
      <w:r>
        <w:rPr>
          <w:i/>
          <w:iCs/>
        </w:rPr>
        <w:t>for category A</w:t>
      </w:r>
      <w:r>
        <w:t xml:space="preserve"> (left)</w:t>
      </w:r>
      <w:r>
        <w:rPr>
          <w:i/>
          <w:iCs/>
        </w:rPr>
        <w:t xml:space="preserve"> and </w:t>
      </w:r>
      <w:r>
        <w:t xml:space="preserve">category </w:t>
      </w:r>
      <w:r>
        <w:rPr>
          <w:i/>
          <w:iCs/>
        </w:rPr>
        <w:t>B</w:t>
      </w:r>
      <w:r>
        <w:t xml:space="preserve"> (right)</w:t>
      </w:r>
    </w:p>
    <w:p w14:paraId="0450E7F0" w14:textId="2DBE3806" w:rsidR="00640593" w:rsidRDefault="00640593" w:rsidP="009235DA">
      <w:pPr>
        <w:keepNext/>
        <w:jc w:val="center"/>
      </w:pPr>
      <w:r>
        <w:rPr>
          <w:b/>
          <w:noProof/>
        </w:rPr>
        <w:drawing>
          <wp:inline distT="0" distB="0" distL="0" distR="0" wp14:anchorId="6F24C471" wp14:editId="70911F5B">
            <wp:extent cx="2880000" cy="2160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ntitled.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00814DB6">
        <w:rPr>
          <w:noProof/>
        </w:rPr>
        <w:drawing>
          <wp:inline distT="0" distB="0" distL="0" distR="0" wp14:anchorId="2AA57E17" wp14:editId="39145CCA">
            <wp:extent cx="2880000" cy="2160000"/>
            <wp:effectExtent l="0" t="0" r="0" b="0"/>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ptc.svg"/>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2880000" cy="2160000"/>
                    </a:xfrm>
                    <a:prstGeom prst="rect">
                      <a:avLst/>
                    </a:prstGeom>
                  </pic:spPr>
                </pic:pic>
              </a:graphicData>
            </a:graphic>
          </wp:inline>
        </w:drawing>
      </w:r>
    </w:p>
    <w:p w14:paraId="2EDEA241" w14:textId="79ED4911" w:rsidR="00640593" w:rsidRPr="009235DA" w:rsidRDefault="00640593" w:rsidP="009235DA">
      <w:pPr>
        <w:pStyle w:val="Caption"/>
        <w:jc w:val="center"/>
      </w:pPr>
      <w:r>
        <w:t>Figure</w:t>
      </w:r>
      <w:r w:rsidR="00814DB6">
        <w:t>s</w:t>
      </w:r>
      <w:r>
        <w:t xml:space="preserve"> </w:t>
      </w:r>
      <w:r w:rsidR="005C5575">
        <w:t>5</w:t>
      </w:r>
      <w:r w:rsidR="00814DB6">
        <w:t>, 6</w:t>
      </w:r>
      <w:r w:rsidRPr="00640593">
        <w:t xml:space="preserve"> </w:t>
      </w:r>
      <w:r>
        <w:t>–</w:t>
      </w:r>
      <w:r w:rsidRPr="00640593">
        <w:t xml:space="preserve"> </w:t>
      </w:r>
      <w:r>
        <w:t xml:space="preserve">Relative alignment delay </w:t>
      </w:r>
      <w:r w:rsidRPr="00640593">
        <w:t>vs. TSC periodicity</w:t>
      </w:r>
      <w:r>
        <w:t xml:space="preserve"> </w:t>
      </w:r>
      <w:r w:rsidR="00BF3F19">
        <w:t>for</w:t>
      </w:r>
      <w:r>
        <w:t xml:space="preserve"> 1, 2, 3, …,640ms</w:t>
      </w:r>
      <w:r w:rsidR="00814DB6">
        <w:t xml:space="preserve"> (left) Overbooking ratio for periodicities 1-100ms with </w:t>
      </w:r>
      <w:r w:rsidR="00002D20">
        <w:t xml:space="preserve">limits of </w:t>
      </w:r>
      <w:r w:rsidR="00814DB6">
        <w:t>8 and 16 multiple CG configuration</w:t>
      </w:r>
      <w:r w:rsidR="00A44860">
        <w:t xml:space="preserve"> </w:t>
      </w:r>
      <w:r w:rsidR="00814DB6">
        <w:t>as horizontal lines</w:t>
      </w:r>
    </w:p>
    <w:p w14:paraId="2E0356B4" w14:textId="5DB0382C" w:rsidR="004E3F05" w:rsidRDefault="00135951">
      <w:r>
        <w:rPr>
          <w:b/>
        </w:rPr>
        <w:t>Observation 2</w:t>
      </w:r>
      <w:r>
        <w:t xml:space="preserve">: </w:t>
      </w:r>
      <w:r w:rsidR="00530BF7">
        <w:t xml:space="preserve">Cyclic shifting </w:t>
      </w:r>
      <w:r>
        <w:t>based on Rel</w:t>
      </w:r>
      <w:r w:rsidR="009235DA">
        <w:t>-</w:t>
      </w:r>
      <w:r>
        <w:t xml:space="preserve">15 periodicities can support arbitrary periodicities with reasonable alignment delay.  </w:t>
      </w:r>
    </w:p>
    <w:p w14:paraId="51220EFB" w14:textId="4C67D48A" w:rsidR="004E3F05" w:rsidRDefault="00135951">
      <w:bookmarkStart w:id="6" w:name="_Hlk19794354"/>
      <w:r>
        <w:rPr>
          <w:b/>
        </w:rPr>
        <w:t>Observation 3</w:t>
      </w:r>
      <w:r>
        <w:t xml:space="preserve">: </w:t>
      </w:r>
      <w:r w:rsidR="00530BF7">
        <w:t xml:space="preserve">Cyclic shifting </w:t>
      </w:r>
      <w:r w:rsidR="00876B92">
        <w:t xml:space="preserve">can also synthesize </w:t>
      </w:r>
      <w:r w:rsidR="001F238B">
        <w:t xml:space="preserve">CG </w:t>
      </w:r>
      <w:r w:rsidR="00876B92">
        <w:t xml:space="preserve">periodicities of integer multiple e.g. </w:t>
      </w:r>
      <w:r w:rsidR="001F238B">
        <w:t xml:space="preserve">0.125 </w:t>
      </w:r>
      <w:proofErr w:type="spellStart"/>
      <w:r w:rsidR="00876B92">
        <w:t>ms</w:t>
      </w:r>
      <w:proofErr w:type="spellEnd"/>
      <w:r w:rsidR="00876B92">
        <w:t xml:space="preserve"> slot period </w:t>
      </w:r>
      <w:r>
        <w:t>with relying on Rel</w:t>
      </w:r>
      <w:r w:rsidR="009235DA">
        <w:t>-</w:t>
      </w:r>
      <w:r>
        <w:t xml:space="preserve">15 periodicities. </w:t>
      </w:r>
    </w:p>
    <w:bookmarkEnd w:id="6"/>
    <w:p w14:paraId="5C78C2AF" w14:textId="16FC9582" w:rsidR="009F7C84" w:rsidRDefault="00135951">
      <w:r>
        <w:t xml:space="preserve">Solutions in Category B </w:t>
      </w:r>
      <w:r w:rsidR="00F231FF">
        <w:t>and C</w:t>
      </w:r>
      <w:r>
        <w:t xml:space="preserve"> need multiple resources configured/overprovisioned for enabling selection. In general, configured resources shall have higher density (SPS/CG periodicity) than arbitrary TSC periodicity. Resulting peak alignment delay is less or equal to resource density or configured underlying SPS/CG periodicity. To achieve as low </w:t>
      </w:r>
      <w:proofErr w:type="gramStart"/>
      <w:r>
        <w:t>alignment</w:t>
      </w:r>
      <w:proofErr w:type="gramEnd"/>
      <w:r>
        <w:t xml:space="preserve"> delay as with option A as shown in figures 1 and 2, Solutions in category B </w:t>
      </w:r>
      <w:r w:rsidR="00F231FF">
        <w:t>and C</w:t>
      </w:r>
      <w:r>
        <w:t xml:space="preserve"> will need resources configured with period that is equal to shifting offset of option A. E.g., with 104Hz TSC periodicity used as an example in 3.1.2 the overbooking ratio is 250/13 (≈19). The following figure presents the ratio between configured and used resources, i.e. “overbooking ratio”.  Overbooking ratio seems to exceed 100 i.e. only less than 1% of configured resources are used. </w:t>
      </w:r>
    </w:p>
    <w:p w14:paraId="22A599FD" w14:textId="6E7458C2" w:rsidR="004E3F05" w:rsidRDefault="00135951">
      <w:r>
        <w:t xml:space="preserve">The overbooking ratio indicates also how </w:t>
      </w:r>
      <w:r w:rsidR="00F231FF">
        <w:t>many multiple CG/SPS configurations are needed wi</w:t>
      </w:r>
      <w:r w:rsidR="009F7C84">
        <w:t xml:space="preserve">th option C. This is illustrated in figure 6, that also shows limits of 8 or 16 multiple CG/SPS configurations.  </w:t>
      </w:r>
    </w:p>
    <w:p w14:paraId="46113A7A" w14:textId="77777777" w:rsidR="004E3F05" w:rsidRDefault="00135951">
      <w:pPr>
        <w:keepNext/>
        <w:jc w:val="center"/>
      </w:pPr>
      <w:r>
        <w:rPr>
          <w:noProof/>
        </w:rPr>
        <w:drawing>
          <wp:inline distT="0" distB="0" distL="0" distR="0" wp14:anchorId="0A6CCD17" wp14:editId="0B04958B">
            <wp:extent cx="2879725" cy="2160270"/>
            <wp:effectExtent l="0" t="0" r="0" b="0"/>
            <wp:docPr id="5"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9"/>
                    <pic:cNvPicPr>
                      <a:picLocks noChangeAspect="1" noChangeArrowheads="1"/>
                    </pic:cNvPicPr>
                  </pic:nvPicPr>
                  <pic:blipFill>
                    <a:blip r:embed="rId26"/>
                    <a:stretch>
                      <a:fillRect/>
                    </a:stretch>
                  </pic:blipFill>
                  <pic:spPr bwMode="auto">
                    <a:xfrm>
                      <a:off x="0" y="0"/>
                      <a:ext cx="2879725" cy="2160270"/>
                    </a:xfrm>
                    <a:prstGeom prst="rect">
                      <a:avLst/>
                    </a:prstGeom>
                  </pic:spPr>
                </pic:pic>
              </a:graphicData>
            </a:graphic>
          </wp:inline>
        </w:drawing>
      </w:r>
      <w:r>
        <w:rPr>
          <w:noProof/>
        </w:rPr>
        <w:drawing>
          <wp:inline distT="0" distB="0" distL="0" distR="0" wp14:anchorId="49E9B316" wp14:editId="258838AC">
            <wp:extent cx="2879725" cy="2160270"/>
            <wp:effectExtent l="0" t="0" r="0" b="0"/>
            <wp:docPr id="6"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11"/>
                    <pic:cNvPicPr>
                      <a:picLocks noChangeAspect="1" noChangeArrowheads="1"/>
                    </pic:cNvPicPr>
                  </pic:nvPicPr>
                  <pic:blipFill>
                    <a:blip r:embed="rId27"/>
                    <a:stretch>
                      <a:fillRect/>
                    </a:stretch>
                  </pic:blipFill>
                  <pic:spPr bwMode="auto">
                    <a:xfrm>
                      <a:off x="0" y="0"/>
                      <a:ext cx="2879725" cy="2160270"/>
                    </a:xfrm>
                    <a:prstGeom prst="rect">
                      <a:avLst/>
                    </a:prstGeom>
                  </pic:spPr>
                </pic:pic>
              </a:graphicData>
            </a:graphic>
          </wp:inline>
        </w:drawing>
      </w:r>
    </w:p>
    <w:p w14:paraId="1DFD43AC" w14:textId="7C0B225F" w:rsidR="004E3F05" w:rsidRDefault="00135951">
      <w:pPr>
        <w:pStyle w:val="Caption"/>
        <w:jc w:val="center"/>
      </w:pPr>
      <w:r>
        <w:t xml:space="preserve">Figures </w:t>
      </w:r>
      <w:r w:rsidR="00814DB6">
        <w:t>7</w:t>
      </w:r>
      <w:r>
        <w:t xml:space="preserve">, </w:t>
      </w:r>
      <w:r w:rsidR="00814DB6">
        <w:t>8</w:t>
      </w:r>
      <w:r w:rsidR="005C5575">
        <w:t xml:space="preserve"> </w:t>
      </w:r>
      <w:r>
        <w:t>- Overbooking ratio vs. TSC periodicity with category B for FDD (left) and TDD (right)</w:t>
      </w:r>
    </w:p>
    <w:p w14:paraId="1819DFCC" w14:textId="59FF745F" w:rsidR="004E3F05" w:rsidRDefault="00135951">
      <w:r>
        <w:rPr>
          <w:b/>
        </w:rPr>
        <w:t>Observation 4</w:t>
      </w:r>
      <w:r>
        <w:t>: Overbooking ratio in category B</w:t>
      </w:r>
      <w:r>
        <w:t xml:space="preserve"> </w:t>
      </w:r>
      <w:r w:rsidR="009F7C84">
        <w:t xml:space="preserve">and C </w:t>
      </w:r>
      <w:r>
        <w:t xml:space="preserve"> may exceed 100</w:t>
      </w:r>
      <w:r w:rsidR="00530BF7">
        <w:t>, i.e. up to as many multiple CG/SPS configurations would be needed</w:t>
      </w:r>
      <w:r>
        <w:t>.</w:t>
      </w:r>
    </w:p>
    <w:p w14:paraId="75AD71A3" w14:textId="421BAAD0" w:rsidR="00681B7E" w:rsidRPr="00285252" w:rsidRDefault="00135951" w:rsidP="009235DA">
      <w:r w:rsidRPr="00681B7E">
        <w:rPr>
          <w:b/>
        </w:rPr>
        <w:t>Observation 5</w:t>
      </w:r>
      <w:r>
        <w:t xml:space="preserve">: </w:t>
      </w:r>
      <w:r w:rsidRPr="00681B7E">
        <w:t xml:space="preserve">For cyclic </w:t>
      </w:r>
      <w:r w:rsidR="00530BF7" w:rsidRPr="00681B7E">
        <w:t xml:space="preserve">shifting </w:t>
      </w:r>
      <w:r w:rsidRPr="00681B7E">
        <w:t xml:space="preserve">bit pattern the length of pattern in bits does not depend on underlying SPS/CG periodicity. </w:t>
      </w:r>
    </w:p>
    <w:p w14:paraId="1F02D039" w14:textId="6D05CAC7" w:rsidR="004E3F05" w:rsidRDefault="00135951">
      <w:r>
        <w:t xml:space="preserve">3.3.2 Signalling </w:t>
      </w:r>
      <w:proofErr w:type="spellStart"/>
      <w:r>
        <w:t>overheadsSignalling</w:t>
      </w:r>
      <w:proofErr w:type="spellEnd"/>
      <w:r>
        <w:t xml:space="preserve"> overhead in category A very small to small depending on signalling</w:t>
      </w:r>
      <w:r w:rsidR="0061501A">
        <w:t xml:space="preserve"> as can be seen in table 1</w:t>
      </w:r>
      <w:r>
        <w:t xml:space="preserve">. SPS/CG configuration is normally signalled at start of SPS/CG only once. </w:t>
      </w:r>
    </w:p>
    <w:p w14:paraId="3FEF9A63" w14:textId="3BFF1383" w:rsidR="004E3F05" w:rsidRDefault="00135951">
      <w:r>
        <w:rPr>
          <w:b/>
        </w:rPr>
        <w:t>Observation 6</w:t>
      </w:r>
      <w:r>
        <w:t xml:space="preserve">: Signalling </w:t>
      </w:r>
      <w:r w:rsidR="00530BF7">
        <w:t>o</w:t>
      </w:r>
      <w:r>
        <w:t xml:space="preserve">ption </w:t>
      </w:r>
      <w:r w:rsidR="00530BF7">
        <w:t>for cyclic shifting that</w:t>
      </w:r>
      <w:r>
        <w:t xml:space="preserve"> avoids transmitting possibly lengthy bitmap seems to be the best option for signalling. </w:t>
      </w:r>
    </w:p>
    <w:p w14:paraId="6602A121" w14:textId="1F9F3BAD" w:rsidR="004E3F05" w:rsidRDefault="00135951">
      <w:r>
        <w:t xml:space="preserve">Signalling overhead in category B </w:t>
      </w:r>
      <w:r w:rsidR="0047355E">
        <w:t xml:space="preserve">and </w:t>
      </w:r>
      <w:r w:rsidR="0061501A">
        <w:t xml:space="preserve">C </w:t>
      </w:r>
      <w:r>
        <w:t>is larger than in A due to need for multiple resources configured. Overbooking ratio may exceed 100</w:t>
      </w:r>
      <w:r w:rsidR="0061501A">
        <w:t>, that reflects the need for multiple CG/SPS configurations</w:t>
      </w:r>
      <w:r>
        <w:t xml:space="preserve">. Option B2 needs to transmit also bitmap for selection of appropriate resource.  Bitmap can be made for cyclic use, but then the length varies according to requested arbitrary periodicity and needs to be multiplied with overbooking ratio when compared with option A. </w:t>
      </w:r>
    </w:p>
    <w:p w14:paraId="0DEC4EAD" w14:textId="62B7F947" w:rsidR="004E3F05" w:rsidRDefault="00135951">
      <w:r>
        <w:rPr>
          <w:b/>
        </w:rPr>
        <w:t>Observation 7</w:t>
      </w:r>
      <w:r>
        <w:t>: Option B2 produces bitmap, which length is overbooking ratio times longer than in option A</w:t>
      </w:r>
      <w:r w:rsidR="00530BF7">
        <w:t>2.</w:t>
      </w:r>
      <w:r>
        <w:t xml:space="preserve">   </w:t>
      </w:r>
    </w:p>
    <w:p w14:paraId="3D92F49A" w14:textId="77777777" w:rsidR="004E3F05" w:rsidRDefault="00135951">
      <w:pPr>
        <w:pStyle w:val="Heading3"/>
      </w:pPr>
      <w:r>
        <w:t>3.3.3 Mitigation of resource constraints</w:t>
      </w:r>
    </w:p>
    <w:p w14:paraId="49BE82CC" w14:textId="77777777" w:rsidR="004E3F05" w:rsidRDefault="00135951">
      <w:r>
        <w:t xml:space="preserve">In category A, the mitigation of TDD UL/DL constraints can be made by selecting the basic periodicity and shifting step as N x </w:t>
      </w:r>
      <w:proofErr w:type="spellStart"/>
      <w:r>
        <w:rPr>
          <w:i/>
        </w:rPr>
        <w:t>dl_UL_TransmissionPeriodicity</w:t>
      </w:r>
      <w:proofErr w:type="spellEnd"/>
      <w:r>
        <w:t xml:space="preserve">, where N is positive integer.  For example, </w:t>
      </w:r>
      <w:proofErr w:type="spellStart"/>
      <w:r>
        <w:rPr>
          <w:i/>
        </w:rPr>
        <w:t>dl_UL_TransmissionPeriodicity</w:t>
      </w:r>
      <w:proofErr w:type="spellEnd"/>
      <w:r>
        <w:t xml:space="preserve"> of 0.5ms applies to all NR numerologies. Violation of slot and SFN boundaries can be avoided similarly.</w:t>
      </w:r>
    </w:p>
    <w:p w14:paraId="2CACB78F" w14:textId="77777777" w:rsidR="004E3F05" w:rsidRDefault="00135951">
      <w:r>
        <w:t xml:space="preserve">In category A, multiplexing UEs applying the same TSC periodicity can be done in time domain with a time offset between users. UEs with different non multiple periodicity can be multiplexed in frequency domain. </w:t>
      </w:r>
    </w:p>
    <w:p w14:paraId="790AAE8E" w14:textId="77777777" w:rsidR="004E3F05" w:rsidRDefault="00135951">
      <w:r>
        <w:t xml:space="preserve">In category B mitigation can be like option A, meaning that all configured resources are not violating slot or TDD boundaries. </w:t>
      </w:r>
    </w:p>
    <w:p w14:paraId="29D773F9" w14:textId="77777777" w:rsidR="004E3F05" w:rsidRDefault="00135951">
      <w:pPr>
        <w:pStyle w:val="Heading3"/>
      </w:pPr>
      <w:r>
        <w:t>3.3.4 Device complexity</w:t>
      </w:r>
    </w:p>
    <w:p w14:paraId="4988F0FF" w14:textId="77777777" w:rsidR="004E3F05" w:rsidRDefault="00135951">
      <w:r>
        <w:t xml:space="preserve">The complexity in UE to implement category A is low, because of clear cyclic rule with least branching and straightforward mitigation of resource constraints can be applied. </w:t>
      </w:r>
    </w:p>
    <w:p w14:paraId="259242CD" w14:textId="2B3590D0" w:rsidR="004E3F05" w:rsidRDefault="00135951">
      <w:r>
        <w:t xml:space="preserve">In option B1 UE needs to implement rule for skipping and selecting appropriate resources from configured one. Applicability of each resource needs to be evaluated possibly in turn.  </w:t>
      </w:r>
    </w:p>
    <w:p w14:paraId="771975FB" w14:textId="77777777" w:rsidR="004E3F05" w:rsidRDefault="00135951">
      <w:pPr>
        <w:pStyle w:val="Heading3"/>
        <w:ind w:left="0" w:firstLine="0"/>
      </w:pPr>
      <w:r>
        <w:t>3.3.5 Scheduler complexity</w:t>
      </w:r>
    </w:p>
    <w:p w14:paraId="26D01146" w14:textId="77777777" w:rsidR="004E3F05" w:rsidRDefault="00135951">
      <w:r>
        <w:t>In category A scheduler needs to employ a rule to obtain cyclic shifting parameters, that can be signalled to UE with different options as shown in table 1.</w:t>
      </w:r>
    </w:p>
    <w:p w14:paraId="17338446" w14:textId="77777777" w:rsidR="004E3F05" w:rsidRDefault="00135951">
      <w:r>
        <w:t xml:space="preserve">In option B the scheduler needs to determine raster of resources with enough density and with length of bit pattern so long that repeating it cyclically would fully match with requested service periodicity and not colliding with other users.  </w:t>
      </w:r>
    </w:p>
    <w:p w14:paraId="2E661CBD" w14:textId="77777777" w:rsidR="004E3F05" w:rsidRDefault="00135951">
      <w:r>
        <w:t>In case of multiple TSC UEs both time and frequency domain multiplexing are needed to meet requested capacity. This applies to both options. Option B2 with bitmap, may yield slightly more flexibility to avoid resource collision between different UEs.</w:t>
      </w:r>
    </w:p>
    <w:p w14:paraId="1E69580D" w14:textId="77777777" w:rsidR="004E3F05" w:rsidRDefault="00135951">
      <w:pPr>
        <w:pStyle w:val="Heading3"/>
      </w:pPr>
      <w:r>
        <w:t>3.3.6 Effort of standardizing the solution in the R16 framework</w:t>
      </w:r>
    </w:p>
    <w:p w14:paraId="4A63B8F3" w14:textId="77777777" w:rsidR="004E3F05" w:rsidRDefault="00135951">
      <w:pPr>
        <w:pStyle w:val="Heading4"/>
      </w:pPr>
      <w:r>
        <w:t>PHY</w:t>
      </w:r>
    </w:p>
    <w:p w14:paraId="6EBB0E07" w14:textId="77777777" w:rsidR="004E3F05" w:rsidRDefault="00135951">
      <w:r>
        <w:t>Category A HARQ-ACK codebook construction algorithm needs to account for SPS allocations shifting if slot boundary is violated, but it can be avoided as shown earlier.</w:t>
      </w:r>
    </w:p>
    <w:p w14:paraId="191614E3" w14:textId="23DFBC4B" w:rsidR="004E3F05" w:rsidRDefault="00135951">
      <w:r>
        <w:t xml:space="preserve">Category B will benefit of ACK/NACK skipping for unused SPS allocations, if not </w:t>
      </w:r>
      <w:proofErr w:type="spellStart"/>
      <w:r>
        <w:t>han</w:t>
      </w:r>
      <w:proofErr w:type="spellEnd"/>
      <w:r w:rsidR="00A466B3">
        <w:tab/>
      </w:r>
      <w:proofErr w:type="spellStart"/>
      <w:r>
        <w:t>dled</w:t>
      </w:r>
      <w:proofErr w:type="spellEnd"/>
      <w:r>
        <w:t xml:space="preserve"> by MAC. </w:t>
      </w:r>
    </w:p>
    <w:p w14:paraId="7F2C0321" w14:textId="46E2F51B" w:rsidR="004E3F05" w:rsidRDefault="00135951">
      <w:pPr>
        <w:pStyle w:val="Heading4"/>
      </w:pPr>
      <w:r>
        <w:t>MAC</w:t>
      </w:r>
    </w:p>
    <w:p w14:paraId="568111CE" w14:textId="73184E75" w:rsidR="004E3F05" w:rsidRDefault="00135951">
      <w:r>
        <w:t>In category A, MAC need</w:t>
      </w:r>
      <w:r w:rsidR="00E710AD">
        <w:t>s</w:t>
      </w:r>
      <w:r>
        <w:t xml:space="preserve"> to </w:t>
      </w:r>
      <w:r w:rsidR="00E710AD">
        <w:t xml:space="preserve">be extended with </w:t>
      </w:r>
      <w:r>
        <w:t xml:space="preserve">SPS/CG </w:t>
      </w:r>
      <w:r w:rsidR="00E710AD">
        <w:t>shifting (re)</w:t>
      </w:r>
      <w:r>
        <w:t>occurrences</w:t>
      </w:r>
      <w:r w:rsidR="00E710AD">
        <w:t xml:space="preserve">. Resource constraints are managed by </w:t>
      </w:r>
      <w:proofErr w:type="gramStart"/>
      <w:r w:rsidR="00E710AD">
        <w:t>NW,</w:t>
      </w:r>
      <w:proofErr w:type="gramEnd"/>
      <w:r w:rsidR="00E710AD">
        <w:t xml:space="preserve"> thus UE can just exploit given configuration</w:t>
      </w:r>
      <w:r>
        <w:t xml:space="preserve">. </w:t>
      </w:r>
    </w:p>
    <w:p w14:paraId="3094FFC0" w14:textId="7F375634" w:rsidR="004E3F05" w:rsidRDefault="00135951">
      <w:r>
        <w:t>Categor</w:t>
      </w:r>
      <w:r w:rsidR="00E710AD">
        <w:t>ies</w:t>
      </w:r>
      <w:r>
        <w:t xml:space="preserve"> B </w:t>
      </w:r>
      <w:r w:rsidR="00E710AD">
        <w:t>and C</w:t>
      </w:r>
      <w:r>
        <w:t xml:space="preserve"> need to mitigate overbooking related overhead to ensure efficient operation. </w:t>
      </w:r>
    </w:p>
    <w:p w14:paraId="5F244283" w14:textId="77777777" w:rsidR="004E3F05" w:rsidRDefault="00135951">
      <w:pPr>
        <w:pStyle w:val="Heading4"/>
      </w:pPr>
      <w:r>
        <w:t>RRC</w:t>
      </w:r>
    </w:p>
    <w:p w14:paraId="0D188CA9" w14:textId="77777777" w:rsidR="004E3F05" w:rsidRDefault="00135951">
      <w:r>
        <w:t xml:space="preserve">For category A, at least TSC periodicity and the starting time information elements are needed. Further information elements are optional. </w:t>
      </w:r>
    </w:p>
    <w:p w14:paraId="01D8E68C" w14:textId="77777777" w:rsidR="004E3F05" w:rsidRDefault="00135951">
      <w:r>
        <w:t>For category B, at least TSC periodicity and the starting time information elements are needed. Further parameters are optional, e.g. bitmap needs to be signalled for option B2.</w:t>
      </w:r>
    </w:p>
    <w:p w14:paraId="79113058" w14:textId="77777777" w:rsidR="004E3F05" w:rsidRDefault="00135951">
      <w:pPr>
        <w:pStyle w:val="Heading3"/>
      </w:pPr>
      <w:r>
        <w:t>3.4 Comparison</w:t>
      </w:r>
    </w:p>
    <w:p w14:paraId="2378959C" w14:textId="77777777" w:rsidR="004E3F05" w:rsidRDefault="00135951">
      <w:pPr>
        <w:pStyle w:val="Caption"/>
        <w:keepNext/>
      </w:pPr>
      <w:r>
        <w:t xml:space="preserve">Table </w:t>
      </w:r>
      <w:r>
        <w:fldChar w:fldCharType="begin"/>
      </w:r>
      <w:r>
        <w:instrText>SEQ Table \* ARABIC</w:instrText>
      </w:r>
      <w:r>
        <w:fldChar w:fldCharType="separate"/>
      </w:r>
      <w:r>
        <w:t>2</w:t>
      </w:r>
      <w:r>
        <w:fldChar w:fldCharType="end"/>
      </w:r>
      <w:r>
        <w:t>. Summary comparison of the proposed solutions.</w:t>
      </w:r>
    </w:p>
    <w:tbl>
      <w:tblPr>
        <w:tblStyle w:val="TableGrid"/>
        <w:tblW w:w="9631" w:type="dxa"/>
        <w:tblLook w:val="04A0" w:firstRow="1" w:lastRow="0" w:firstColumn="1" w:lastColumn="0" w:noHBand="0" w:noVBand="1"/>
      </w:tblPr>
      <w:tblGrid>
        <w:gridCol w:w="2426"/>
        <w:gridCol w:w="2402"/>
        <w:gridCol w:w="2402"/>
        <w:gridCol w:w="2401"/>
      </w:tblGrid>
      <w:tr w:rsidR="004E3F05" w14:paraId="6CC0D194" w14:textId="77777777">
        <w:tc>
          <w:tcPr>
            <w:tcW w:w="2425" w:type="dxa"/>
            <w:shd w:val="clear" w:color="auto" w:fill="auto"/>
          </w:tcPr>
          <w:p w14:paraId="641052F8" w14:textId="77777777" w:rsidR="004E3F05" w:rsidRDefault="00135951">
            <w:pPr>
              <w:rPr>
                <w:b/>
              </w:rPr>
            </w:pPr>
            <w:r>
              <w:rPr>
                <w:b/>
              </w:rPr>
              <w:t>KPI criteria</w:t>
            </w:r>
          </w:p>
        </w:tc>
        <w:tc>
          <w:tcPr>
            <w:tcW w:w="2402" w:type="dxa"/>
            <w:shd w:val="clear" w:color="auto" w:fill="auto"/>
          </w:tcPr>
          <w:p w14:paraId="77C8785C" w14:textId="77777777" w:rsidR="004E3F05" w:rsidRDefault="00135951">
            <w:pPr>
              <w:jc w:val="center"/>
              <w:rPr>
                <w:b/>
              </w:rPr>
            </w:pPr>
            <w:r>
              <w:rPr>
                <w:b/>
              </w:rPr>
              <w:t>Solution A</w:t>
            </w:r>
          </w:p>
          <w:p w14:paraId="614BD101" w14:textId="2B556222" w:rsidR="004E3F05" w:rsidRPr="009235DA" w:rsidRDefault="00285252">
            <w:pPr>
              <w:jc w:val="center"/>
            </w:pPr>
            <w:r w:rsidRPr="009235DA">
              <w:t>Cyclic shifting</w:t>
            </w:r>
          </w:p>
        </w:tc>
        <w:tc>
          <w:tcPr>
            <w:tcW w:w="2402" w:type="dxa"/>
            <w:shd w:val="clear" w:color="auto" w:fill="auto"/>
          </w:tcPr>
          <w:p w14:paraId="47B267EE" w14:textId="08F30CC5" w:rsidR="004E3F05" w:rsidRDefault="00135951">
            <w:pPr>
              <w:jc w:val="center"/>
              <w:rPr>
                <w:b/>
              </w:rPr>
            </w:pPr>
            <w:r>
              <w:rPr>
                <w:b/>
              </w:rPr>
              <w:t>Solution B</w:t>
            </w:r>
          </w:p>
          <w:p w14:paraId="349DF632" w14:textId="22CB13D4" w:rsidR="004E3F05" w:rsidRPr="009235DA" w:rsidRDefault="00285252">
            <w:pPr>
              <w:jc w:val="center"/>
            </w:pPr>
            <w:r w:rsidRPr="009235DA">
              <w:t>Selection from multipl</w:t>
            </w:r>
            <w:r>
              <w:t>ied</w:t>
            </w:r>
            <w:r w:rsidRPr="009235DA">
              <w:t xml:space="preserve"> periodicity</w:t>
            </w:r>
          </w:p>
        </w:tc>
        <w:tc>
          <w:tcPr>
            <w:tcW w:w="2401" w:type="dxa"/>
            <w:shd w:val="clear" w:color="auto" w:fill="auto"/>
          </w:tcPr>
          <w:p w14:paraId="00A00C70" w14:textId="6F3D890D" w:rsidR="004E3F05" w:rsidRDefault="00135951">
            <w:pPr>
              <w:jc w:val="center"/>
              <w:rPr>
                <w:b/>
              </w:rPr>
            </w:pPr>
            <w:r>
              <w:rPr>
                <w:b/>
              </w:rPr>
              <w:t xml:space="preserve">Solution </w:t>
            </w:r>
            <w:r w:rsidR="0061501A">
              <w:rPr>
                <w:b/>
              </w:rPr>
              <w:t>C</w:t>
            </w:r>
          </w:p>
          <w:p w14:paraId="2AFAA60C" w14:textId="4B3883C7" w:rsidR="004E3F05" w:rsidRPr="009235DA" w:rsidRDefault="00285252">
            <w:pPr>
              <w:jc w:val="center"/>
            </w:pPr>
            <w:r w:rsidRPr="009235DA">
              <w:t>Selection from multiple configurations</w:t>
            </w:r>
          </w:p>
        </w:tc>
      </w:tr>
      <w:tr w:rsidR="004E3F05" w14:paraId="0470BD86" w14:textId="77777777">
        <w:tc>
          <w:tcPr>
            <w:tcW w:w="2425" w:type="dxa"/>
            <w:shd w:val="clear" w:color="auto" w:fill="auto"/>
          </w:tcPr>
          <w:p w14:paraId="3C3515F3" w14:textId="77777777" w:rsidR="004E3F05" w:rsidRDefault="00135951">
            <w:pPr>
              <w:rPr>
                <w:b/>
              </w:rPr>
            </w:pPr>
            <w:r>
              <w:rPr>
                <w:b/>
              </w:rPr>
              <w:t>Flexibility and Efficiency</w:t>
            </w:r>
          </w:p>
        </w:tc>
        <w:tc>
          <w:tcPr>
            <w:tcW w:w="2402" w:type="dxa"/>
            <w:shd w:val="clear" w:color="auto" w:fill="auto"/>
          </w:tcPr>
          <w:p w14:paraId="5B97D66E" w14:textId="77777777" w:rsidR="004E3F05" w:rsidRDefault="00135951">
            <w:pPr>
              <w:jc w:val="center"/>
              <w:rPr>
                <w:b/>
              </w:rPr>
            </w:pPr>
            <w:r>
              <w:rPr>
                <w:b/>
              </w:rPr>
              <w:t>High</w:t>
            </w:r>
          </w:p>
        </w:tc>
        <w:tc>
          <w:tcPr>
            <w:tcW w:w="2402" w:type="dxa"/>
            <w:shd w:val="clear" w:color="auto" w:fill="auto"/>
          </w:tcPr>
          <w:p w14:paraId="6B0A1AEA" w14:textId="77777777" w:rsidR="004E3F05" w:rsidRDefault="00135951">
            <w:pPr>
              <w:jc w:val="center"/>
            </w:pPr>
            <w:r>
              <w:t>Medium</w:t>
            </w:r>
          </w:p>
        </w:tc>
        <w:tc>
          <w:tcPr>
            <w:tcW w:w="2401" w:type="dxa"/>
            <w:shd w:val="clear" w:color="auto" w:fill="auto"/>
          </w:tcPr>
          <w:p w14:paraId="7DB784DB" w14:textId="26E2F24F" w:rsidR="004E3F05" w:rsidRPr="009235DA" w:rsidRDefault="00135951">
            <w:pPr>
              <w:jc w:val="center"/>
            </w:pPr>
            <w:r w:rsidRPr="008C64EA">
              <w:t>Medium</w:t>
            </w:r>
          </w:p>
        </w:tc>
      </w:tr>
      <w:tr w:rsidR="004E3F05" w14:paraId="23385632" w14:textId="77777777">
        <w:tc>
          <w:tcPr>
            <w:tcW w:w="2425" w:type="dxa"/>
            <w:shd w:val="clear" w:color="auto" w:fill="auto"/>
          </w:tcPr>
          <w:p w14:paraId="742369CF" w14:textId="77777777" w:rsidR="004E3F05" w:rsidRDefault="00135951">
            <w:pPr>
              <w:rPr>
                <w:b/>
              </w:rPr>
            </w:pPr>
            <w:r>
              <w:rPr>
                <w:b/>
              </w:rPr>
              <w:t>Signalling overhead (RRC and MAC)</w:t>
            </w:r>
          </w:p>
        </w:tc>
        <w:tc>
          <w:tcPr>
            <w:tcW w:w="2402" w:type="dxa"/>
            <w:shd w:val="clear" w:color="auto" w:fill="auto"/>
          </w:tcPr>
          <w:p w14:paraId="0D9F29E1" w14:textId="77777777" w:rsidR="004E3F05" w:rsidRDefault="00135951">
            <w:pPr>
              <w:jc w:val="center"/>
              <w:rPr>
                <w:b/>
              </w:rPr>
            </w:pPr>
            <w:r>
              <w:rPr>
                <w:b/>
              </w:rPr>
              <w:t>Low</w:t>
            </w:r>
          </w:p>
        </w:tc>
        <w:tc>
          <w:tcPr>
            <w:tcW w:w="2402" w:type="dxa"/>
            <w:shd w:val="clear" w:color="auto" w:fill="auto"/>
          </w:tcPr>
          <w:p w14:paraId="2EAFAFCF" w14:textId="77777777" w:rsidR="004E3F05" w:rsidRDefault="00135951">
            <w:pPr>
              <w:jc w:val="center"/>
            </w:pPr>
            <w:r>
              <w:t>Medium</w:t>
            </w:r>
            <w:r w:rsidR="0047355E">
              <w:t xml:space="preserve"> (B1)</w:t>
            </w:r>
          </w:p>
          <w:p w14:paraId="2E1663FF" w14:textId="43B439E2" w:rsidR="004E3F05" w:rsidRDefault="0047355E">
            <w:pPr>
              <w:jc w:val="center"/>
            </w:pPr>
            <w:r>
              <w:t>Medium (B2)</w:t>
            </w:r>
          </w:p>
        </w:tc>
        <w:tc>
          <w:tcPr>
            <w:tcW w:w="2401" w:type="dxa"/>
            <w:shd w:val="clear" w:color="auto" w:fill="auto"/>
          </w:tcPr>
          <w:p w14:paraId="2C06FD83" w14:textId="77777777" w:rsidR="004E3F05" w:rsidRDefault="00135951">
            <w:pPr>
              <w:jc w:val="center"/>
            </w:pPr>
            <w:r>
              <w:t>High</w:t>
            </w:r>
          </w:p>
        </w:tc>
      </w:tr>
      <w:tr w:rsidR="004E3F05" w14:paraId="57300E9E" w14:textId="77777777">
        <w:tc>
          <w:tcPr>
            <w:tcW w:w="2425" w:type="dxa"/>
            <w:shd w:val="clear" w:color="auto" w:fill="auto"/>
          </w:tcPr>
          <w:p w14:paraId="434F7A34" w14:textId="77777777" w:rsidR="004E3F05" w:rsidRDefault="00135951">
            <w:pPr>
              <w:rPr>
                <w:b/>
              </w:rPr>
            </w:pPr>
            <w:r>
              <w:rPr>
                <w:b/>
              </w:rPr>
              <w:t>Mitigation of resource constraints</w:t>
            </w:r>
          </w:p>
        </w:tc>
        <w:tc>
          <w:tcPr>
            <w:tcW w:w="2402" w:type="dxa"/>
            <w:shd w:val="clear" w:color="auto" w:fill="auto"/>
          </w:tcPr>
          <w:p w14:paraId="5B100604" w14:textId="77777777" w:rsidR="004E3F05" w:rsidRDefault="00135951">
            <w:pPr>
              <w:jc w:val="center"/>
              <w:rPr>
                <w:b/>
              </w:rPr>
            </w:pPr>
            <w:r>
              <w:rPr>
                <w:b/>
              </w:rPr>
              <w:t>OK</w:t>
            </w:r>
          </w:p>
        </w:tc>
        <w:tc>
          <w:tcPr>
            <w:tcW w:w="2402" w:type="dxa"/>
            <w:shd w:val="clear" w:color="auto" w:fill="auto"/>
          </w:tcPr>
          <w:p w14:paraId="10C39B3A" w14:textId="77777777" w:rsidR="004E3F05" w:rsidRDefault="00135951">
            <w:pPr>
              <w:jc w:val="center"/>
              <w:rPr>
                <w:b/>
              </w:rPr>
            </w:pPr>
            <w:r>
              <w:rPr>
                <w:b/>
              </w:rPr>
              <w:t>OK</w:t>
            </w:r>
          </w:p>
        </w:tc>
        <w:tc>
          <w:tcPr>
            <w:tcW w:w="2401" w:type="dxa"/>
            <w:shd w:val="clear" w:color="auto" w:fill="auto"/>
          </w:tcPr>
          <w:p w14:paraId="3B26B665" w14:textId="77777777" w:rsidR="004E3F05" w:rsidRDefault="00135951">
            <w:pPr>
              <w:jc w:val="center"/>
              <w:rPr>
                <w:b/>
              </w:rPr>
            </w:pPr>
            <w:r>
              <w:rPr>
                <w:b/>
              </w:rPr>
              <w:t>OK</w:t>
            </w:r>
          </w:p>
        </w:tc>
      </w:tr>
      <w:tr w:rsidR="004E3F05" w14:paraId="014CD6CA" w14:textId="77777777">
        <w:tc>
          <w:tcPr>
            <w:tcW w:w="2425" w:type="dxa"/>
            <w:shd w:val="clear" w:color="auto" w:fill="auto"/>
          </w:tcPr>
          <w:p w14:paraId="69AD99A4" w14:textId="77777777" w:rsidR="004E3F05" w:rsidRDefault="00135951">
            <w:pPr>
              <w:rPr>
                <w:b/>
              </w:rPr>
            </w:pPr>
            <w:r>
              <w:rPr>
                <w:b/>
              </w:rPr>
              <w:t>UE complexity</w:t>
            </w:r>
          </w:p>
        </w:tc>
        <w:tc>
          <w:tcPr>
            <w:tcW w:w="2402" w:type="dxa"/>
            <w:shd w:val="clear" w:color="auto" w:fill="auto"/>
          </w:tcPr>
          <w:p w14:paraId="43EC050A" w14:textId="77777777" w:rsidR="004E3F05" w:rsidRDefault="00135951">
            <w:pPr>
              <w:jc w:val="center"/>
              <w:rPr>
                <w:b/>
              </w:rPr>
            </w:pPr>
            <w:r>
              <w:rPr>
                <w:b/>
              </w:rPr>
              <w:t>Low</w:t>
            </w:r>
          </w:p>
        </w:tc>
        <w:tc>
          <w:tcPr>
            <w:tcW w:w="2402" w:type="dxa"/>
            <w:shd w:val="clear" w:color="auto" w:fill="auto"/>
          </w:tcPr>
          <w:p w14:paraId="508A3004" w14:textId="77777777" w:rsidR="004E3F05" w:rsidRDefault="00135951">
            <w:pPr>
              <w:jc w:val="center"/>
              <w:rPr>
                <w:b/>
              </w:rPr>
            </w:pPr>
            <w:r>
              <w:rPr>
                <w:b/>
              </w:rPr>
              <w:t>Low</w:t>
            </w:r>
          </w:p>
        </w:tc>
        <w:tc>
          <w:tcPr>
            <w:tcW w:w="2401" w:type="dxa"/>
            <w:shd w:val="clear" w:color="auto" w:fill="auto"/>
          </w:tcPr>
          <w:p w14:paraId="6060EC0F" w14:textId="77777777" w:rsidR="004E3F05" w:rsidRDefault="00135951">
            <w:pPr>
              <w:jc w:val="center"/>
              <w:rPr>
                <w:b/>
              </w:rPr>
            </w:pPr>
            <w:r>
              <w:rPr>
                <w:b/>
              </w:rPr>
              <w:t>Low</w:t>
            </w:r>
          </w:p>
        </w:tc>
      </w:tr>
      <w:tr w:rsidR="004E3F05" w14:paraId="2D0B19B2" w14:textId="77777777">
        <w:tc>
          <w:tcPr>
            <w:tcW w:w="2425" w:type="dxa"/>
            <w:shd w:val="clear" w:color="auto" w:fill="auto"/>
          </w:tcPr>
          <w:p w14:paraId="7BD8C6F7" w14:textId="77777777" w:rsidR="004E3F05" w:rsidRDefault="00135951">
            <w:pPr>
              <w:rPr>
                <w:b/>
              </w:rPr>
            </w:pPr>
            <w:r>
              <w:rPr>
                <w:b/>
              </w:rPr>
              <w:t>Scheduler complexity</w:t>
            </w:r>
          </w:p>
        </w:tc>
        <w:tc>
          <w:tcPr>
            <w:tcW w:w="2402" w:type="dxa"/>
            <w:shd w:val="clear" w:color="auto" w:fill="auto"/>
          </w:tcPr>
          <w:p w14:paraId="4655EBCA" w14:textId="77777777" w:rsidR="004E3F05" w:rsidRDefault="00135951">
            <w:pPr>
              <w:jc w:val="center"/>
              <w:rPr>
                <w:b/>
              </w:rPr>
            </w:pPr>
            <w:r>
              <w:rPr>
                <w:b/>
              </w:rPr>
              <w:t>Medium</w:t>
            </w:r>
          </w:p>
        </w:tc>
        <w:tc>
          <w:tcPr>
            <w:tcW w:w="2402" w:type="dxa"/>
            <w:shd w:val="clear" w:color="auto" w:fill="auto"/>
          </w:tcPr>
          <w:p w14:paraId="12058F4B" w14:textId="77777777" w:rsidR="004E3F05" w:rsidRDefault="00135951">
            <w:pPr>
              <w:jc w:val="center"/>
              <w:rPr>
                <w:b/>
              </w:rPr>
            </w:pPr>
            <w:r>
              <w:rPr>
                <w:b/>
              </w:rPr>
              <w:t>Medium</w:t>
            </w:r>
            <w:r w:rsidR="0047355E">
              <w:rPr>
                <w:b/>
              </w:rPr>
              <w:t xml:space="preserve"> (B1)</w:t>
            </w:r>
          </w:p>
          <w:p w14:paraId="694385B6" w14:textId="373FB01E" w:rsidR="004E3F05" w:rsidRPr="009235DA" w:rsidRDefault="0047355E">
            <w:pPr>
              <w:jc w:val="center"/>
            </w:pPr>
            <w:r w:rsidRPr="009235DA">
              <w:t>High</w:t>
            </w:r>
            <w:r>
              <w:t xml:space="preserve"> </w:t>
            </w:r>
            <w:r w:rsidRPr="009235DA">
              <w:t>(B2)</w:t>
            </w:r>
          </w:p>
        </w:tc>
        <w:tc>
          <w:tcPr>
            <w:tcW w:w="2401" w:type="dxa"/>
            <w:shd w:val="clear" w:color="auto" w:fill="auto"/>
          </w:tcPr>
          <w:p w14:paraId="5E6D9572" w14:textId="77777777" w:rsidR="004E3F05" w:rsidRDefault="00135951">
            <w:pPr>
              <w:jc w:val="center"/>
            </w:pPr>
            <w:r>
              <w:t>High</w:t>
            </w:r>
          </w:p>
        </w:tc>
      </w:tr>
      <w:tr w:rsidR="004E3F05" w14:paraId="600CAB77" w14:textId="77777777">
        <w:tc>
          <w:tcPr>
            <w:tcW w:w="2425" w:type="dxa"/>
            <w:shd w:val="clear" w:color="auto" w:fill="auto"/>
          </w:tcPr>
          <w:p w14:paraId="1DE58EFE" w14:textId="77777777" w:rsidR="004E3F05" w:rsidRDefault="00135951">
            <w:pPr>
              <w:rPr>
                <w:b/>
              </w:rPr>
            </w:pPr>
            <w:r>
              <w:rPr>
                <w:b/>
              </w:rPr>
              <w:t>Standardization effort</w:t>
            </w:r>
          </w:p>
        </w:tc>
        <w:tc>
          <w:tcPr>
            <w:tcW w:w="2402" w:type="dxa"/>
            <w:shd w:val="clear" w:color="auto" w:fill="auto"/>
          </w:tcPr>
          <w:p w14:paraId="0AAB6B23" w14:textId="26BFAD5D" w:rsidR="004E3F05" w:rsidRDefault="0047355E">
            <w:pPr>
              <w:jc w:val="center"/>
              <w:rPr>
                <w:b/>
              </w:rPr>
            </w:pPr>
            <w:r w:rsidRPr="0047355E">
              <w:rPr>
                <w:b/>
              </w:rPr>
              <w:t>Medium</w:t>
            </w:r>
          </w:p>
        </w:tc>
        <w:tc>
          <w:tcPr>
            <w:tcW w:w="2402" w:type="dxa"/>
            <w:shd w:val="clear" w:color="auto" w:fill="auto"/>
          </w:tcPr>
          <w:p w14:paraId="6D39CE6A" w14:textId="77777777" w:rsidR="004E3F05" w:rsidRPr="009235DA" w:rsidRDefault="00135951">
            <w:pPr>
              <w:jc w:val="center"/>
              <w:rPr>
                <w:b/>
              </w:rPr>
            </w:pPr>
            <w:r w:rsidRPr="009235DA">
              <w:rPr>
                <w:b/>
              </w:rPr>
              <w:t>Medium</w:t>
            </w:r>
          </w:p>
        </w:tc>
        <w:tc>
          <w:tcPr>
            <w:tcW w:w="2401" w:type="dxa"/>
            <w:shd w:val="clear" w:color="auto" w:fill="auto"/>
          </w:tcPr>
          <w:p w14:paraId="5DB0BB42" w14:textId="77777777" w:rsidR="004E3F05" w:rsidRPr="009235DA" w:rsidRDefault="00135951">
            <w:pPr>
              <w:jc w:val="center"/>
              <w:rPr>
                <w:b/>
              </w:rPr>
            </w:pPr>
            <w:r w:rsidRPr="009235DA">
              <w:rPr>
                <w:b/>
              </w:rPr>
              <w:t>Medium</w:t>
            </w:r>
          </w:p>
        </w:tc>
      </w:tr>
    </w:tbl>
    <w:p w14:paraId="611AE1EC" w14:textId="77777777" w:rsidR="004E3F05" w:rsidRDefault="004E3F05"/>
    <w:p w14:paraId="6059CFC7" w14:textId="75028719" w:rsidR="00530BF7" w:rsidRDefault="00135951" w:rsidP="00530BF7">
      <w:r>
        <w:rPr>
          <w:b/>
        </w:rPr>
        <w:t>Observation 8</w:t>
      </w:r>
      <w:r>
        <w:t xml:space="preserve">: </w:t>
      </w:r>
      <w:r w:rsidR="00530BF7">
        <w:t xml:space="preserve">Overall complexity is about in similar level for all evaluated concepts. </w:t>
      </w:r>
    </w:p>
    <w:p w14:paraId="5F5A17F0" w14:textId="6B365C1D" w:rsidR="004E3F05" w:rsidRDefault="00135951">
      <w:r>
        <w:rPr>
          <w:b/>
        </w:rPr>
        <w:t xml:space="preserve">Observation </w:t>
      </w:r>
      <w:r w:rsidR="00530BF7">
        <w:rPr>
          <w:b/>
        </w:rPr>
        <w:t>9</w:t>
      </w:r>
      <w:r>
        <w:t xml:space="preserve">: Cyclic shifting of SPS/CG resource seems to have the best fit with given the KPIs.  </w:t>
      </w:r>
    </w:p>
    <w:p w14:paraId="478657AF" w14:textId="77777777" w:rsidR="004E3F05" w:rsidRDefault="00135951">
      <w:r>
        <w:t>Based on the above analysis and observations, we therefore have the following proposal:</w:t>
      </w:r>
    </w:p>
    <w:p w14:paraId="31F41476" w14:textId="2088BF4A" w:rsidR="007B6B6A" w:rsidRDefault="007B6B6A" w:rsidP="007B6B6A">
      <w:r>
        <w:rPr>
          <w:b/>
        </w:rPr>
        <w:t>Proposal 2</w:t>
      </w:r>
      <w:r>
        <w:t xml:space="preserve">: Cyclic SPS/CG shifting should be used as basis for further work on support for arbitrary TSC periodicities. </w:t>
      </w:r>
    </w:p>
    <w:p w14:paraId="069935E1" w14:textId="3185C882" w:rsidR="004E3F05" w:rsidRDefault="00135951">
      <w:pPr>
        <w:pStyle w:val="Heading1"/>
      </w:pPr>
      <w:r>
        <w:t>4</w:t>
      </w:r>
      <w:r>
        <w:tab/>
        <w:t>Conclusion</w:t>
      </w:r>
      <w:r w:rsidR="00A27455">
        <w:t xml:space="preserve">  </w:t>
      </w:r>
      <w:r w:rsidR="00865800">
        <w:t xml:space="preserve"> </w:t>
      </w:r>
    </w:p>
    <w:p w14:paraId="3EB4B0EF" w14:textId="77777777" w:rsidR="004E3F05" w:rsidRDefault="00135951">
      <w:r>
        <w:t>During comparison of solution proposals to support arbitrary TSC periodicities the following observations have been made.</w:t>
      </w:r>
    </w:p>
    <w:p w14:paraId="01F97829" w14:textId="1DACC8F7" w:rsidR="00530BF7" w:rsidRDefault="00530BF7" w:rsidP="00530BF7">
      <w:r w:rsidRPr="00F01F3C">
        <w:rPr>
          <w:b/>
          <w:bCs/>
        </w:rPr>
        <w:t xml:space="preserve">Observation </w:t>
      </w:r>
      <w:r>
        <w:rPr>
          <w:b/>
          <w:bCs/>
        </w:rPr>
        <w:t>1</w:t>
      </w:r>
      <w:r>
        <w:t>: The support of arbitrary TSC periodicities with the use of multiple CG/SPS configurations or overprovisioned SPS/CG periodicity have crucial trade-off between efficiency and alignment delay - both are important objectives.</w:t>
      </w:r>
      <w:r w:rsidDel="001D659C">
        <w:t xml:space="preserve"> </w:t>
      </w:r>
      <w:r w:rsidDel="00D8419E">
        <w:t xml:space="preserve"> </w:t>
      </w:r>
    </w:p>
    <w:p w14:paraId="4896DC15" w14:textId="3D891A9D" w:rsidR="00D05825" w:rsidRDefault="00530BF7" w:rsidP="00530BF7">
      <w:r>
        <w:rPr>
          <w:b/>
        </w:rPr>
        <w:t>Observation 2</w:t>
      </w:r>
      <w:r>
        <w:t xml:space="preserve">: Cyclic shifting based on Rel15 periodicities can support arbitrary periodicities with reasonable alignment delay. </w:t>
      </w:r>
    </w:p>
    <w:p w14:paraId="36C2E70C" w14:textId="251A1868" w:rsidR="00530BF7" w:rsidRDefault="00530BF7" w:rsidP="00530BF7">
      <w:r>
        <w:rPr>
          <w:b/>
        </w:rPr>
        <w:t>Observation 3</w:t>
      </w:r>
      <w:r>
        <w:t xml:space="preserve">: Cyclic shifting can also synthesize </w:t>
      </w:r>
      <w:r w:rsidR="001F238B">
        <w:t xml:space="preserve">CG </w:t>
      </w:r>
      <w:r>
        <w:t xml:space="preserve">periodicities of integer multiple e.g. </w:t>
      </w:r>
      <w:r w:rsidR="001F238B">
        <w:t>0.125</w:t>
      </w:r>
      <w:r>
        <w:t xml:space="preserve">ms slot period with relying on Rel15 periodicities. </w:t>
      </w:r>
    </w:p>
    <w:p w14:paraId="5E85FEDF" w14:textId="08A6735E" w:rsidR="00D05825" w:rsidRDefault="00530BF7" w:rsidP="00530BF7">
      <w:r>
        <w:rPr>
          <w:b/>
        </w:rPr>
        <w:t>Observation 4</w:t>
      </w:r>
      <w:r>
        <w:t>: Overbooking ratio in category B and C may exceed 100, i.e. up to as many multiple CG/SPS configurations would be needed.</w:t>
      </w:r>
    </w:p>
    <w:p w14:paraId="5C93B103" w14:textId="77777777" w:rsidR="00530BF7" w:rsidRDefault="00530BF7" w:rsidP="00530BF7">
      <w:r>
        <w:rPr>
          <w:b/>
        </w:rPr>
        <w:t>Observation 5</w:t>
      </w:r>
      <w:r>
        <w:t xml:space="preserve">: For cyclic shifting bit pattern the length of pattern in bits does not depend on underlying SPS/CG periodicity. </w:t>
      </w:r>
    </w:p>
    <w:p w14:paraId="40EBB867" w14:textId="7F08A420" w:rsidR="009B1911" w:rsidRDefault="00530BF7">
      <w:commentRangeStart w:id="7"/>
      <w:commentRangeEnd w:id="7"/>
      <w:r>
        <w:rPr>
          <w:b/>
        </w:rPr>
        <w:t>Observation 6</w:t>
      </w:r>
      <w:r>
        <w:t xml:space="preserve">: Signalling option for cyclic shifting that avoids transmitting possibly lengthy bitmap seems to be the best option for signalling. </w:t>
      </w:r>
    </w:p>
    <w:p w14:paraId="58DDB976" w14:textId="2B8AF15C" w:rsidR="007666F2" w:rsidRDefault="00530BF7">
      <w:r>
        <w:rPr>
          <w:b/>
        </w:rPr>
        <w:t>Observation 7</w:t>
      </w:r>
      <w:r>
        <w:t xml:space="preserve">: Option B2 produces bitmap, which length is overbooking ratio times longer than in option A2.   </w:t>
      </w:r>
    </w:p>
    <w:p w14:paraId="098FDA4B" w14:textId="177DA706" w:rsidR="00221AB3" w:rsidRDefault="007B6B6A" w:rsidP="007B6B6A">
      <w:r>
        <w:rPr>
          <w:b/>
        </w:rPr>
        <w:t>Observation 8</w:t>
      </w:r>
      <w:r>
        <w:t xml:space="preserve">: Overall complexity is about in similar level for all evaluated concepts. </w:t>
      </w:r>
    </w:p>
    <w:p w14:paraId="556E315A" w14:textId="156B7022" w:rsidR="004E3F05" w:rsidRDefault="007B6B6A">
      <w:r>
        <w:rPr>
          <w:b/>
        </w:rPr>
        <w:t>Observation 9</w:t>
      </w:r>
      <w:r>
        <w:t xml:space="preserve">: Cyclic shifting of SPS/CG resource seems to have the best fit with given the KPIs.  </w:t>
      </w:r>
      <w:r w:rsidR="00135951">
        <w:t>Based on the above analysis and observations, we therefore have the following proposals:</w:t>
      </w:r>
    </w:p>
    <w:p w14:paraId="00B7E1C5" w14:textId="414AC101" w:rsidR="00681B7E" w:rsidRPr="00681B7E" w:rsidRDefault="00681B7E" w:rsidP="00681B7E">
      <w:pPr>
        <w:rPr>
          <w:b/>
        </w:rPr>
      </w:pPr>
      <w:r w:rsidRPr="00681B7E">
        <w:rPr>
          <w:b/>
        </w:rPr>
        <w:t xml:space="preserve">Proposal 1: Solutions capable of enhancing the system efficiency for serving </w:t>
      </w:r>
      <w:r w:rsidR="00A466B3">
        <w:rPr>
          <w:b/>
        </w:rPr>
        <w:t>wide</w:t>
      </w:r>
      <w:r w:rsidRPr="00681B7E">
        <w:rPr>
          <w:b/>
        </w:rPr>
        <w:t xml:space="preserve"> range of arbitrary TSC periodicities with minimal alignment delay should be investigated. </w:t>
      </w:r>
    </w:p>
    <w:p w14:paraId="5DA8BB28" w14:textId="37AA5C89" w:rsidR="004E3F05" w:rsidRPr="009235DA" w:rsidRDefault="00135951">
      <w:pPr>
        <w:rPr>
          <w:b/>
        </w:rPr>
      </w:pPr>
      <w:r>
        <w:rPr>
          <w:b/>
        </w:rPr>
        <w:t>Proposal 2</w:t>
      </w:r>
      <w:r w:rsidRPr="009235DA">
        <w:rPr>
          <w:b/>
        </w:rPr>
        <w:t xml:space="preserve">: </w:t>
      </w:r>
      <w:r w:rsidR="007B6B6A" w:rsidRPr="009235DA">
        <w:rPr>
          <w:b/>
        </w:rPr>
        <w:t>C</w:t>
      </w:r>
      <w:r w:rsidRPr="009235DA">
        <w:rPr>
          <w:b/>
        </w:rPr>
        <w:t xml:space="preserve">yclic SPS/CG shifting </w:t>
      </w:r>
      <w:r w:rsidR="007B6B6A" w:rsidRPr="009235DA">
        <w:rPr>
          <w:b/>
        </w:rPr>
        <w:t xml:space="preserve">should be used </w:t>
      </w:r>
      <w:r w:rsidRPr="009235DA">
        <w:rPr>
          <w:b/>
        </w:rPr>
        <w:t>as basis for further work on support for arbitrary TSC periodicities</w:t>
      </w:r>
      <w:r w:rsidR="007B6B6A" w:rsidRPr="009235DA">
        <w:rPr>
          <w:b/>
        </w:rPr>
        <w:t>.</w:t>
      </w:r>
      <w:r w:rsidR="00017747" w:rsidRPr="009235DA">
        <w:rPr>
          <w:b/>
        </w:rPr>
        <w:t xml:space="preserve"> </w:t>
      </w:r>
    </w:p>
    <w:p w14:paraId="2E8810E4" w14:textId="77777777" w:rsidR="004E3F05" w:rsidRDefault="00135951">
      <w:pPr>
        <w:pStyle w:val="Heading1"/>
      </w:pPr>
      <w:r>
        <w:t>References</w:t>
      </w:r>
    </w:p>
    <w:p w14:paraId="34FCC708" w14:textId="77777777" w:rsidR="004E3F05" w:rsidRDefault="00135951">
      <w:pPr>
        <w:numPr>
          <w:ilvl w:val="0"/>
          <w:numId w:val="1"/>
        </w:numPr>
        <w:textAlignment w:val="baseline"/>
        <w:rPr>
          <w:lang w:val="en-US"/>
        </w:rPr>
      </w:pPr>
      <w:bookmarkStart w:id="8" w:name="_Ref75086397"/>
      <w:r>
        <w:rPr>
          <w:lang w:val="en-US"/>
        </w:rPr>
        <w:t xml:space="preserve">RP-190728, </w:t>
      </w:r>
      <w:r>
        <w:rPr>
          <w:i/>
          <w:lang w:val="en-US"/>
        </w:rPr>
        <w:t>New WID: Support of NR Industrial Internet of Things (IoT),</w:t>
      </w:r>
      <w:r>
        <w:rPr>
          <w:lang w:val="en-US"/>
        </w:rPr>
        <w:t xml:space="preserve"> Nokia, Nokia Shanghai Bell, Mar. 2019.</w:t>
      </w:r>
      <w:bookmarkEnd w:id="8"/>
    </w:p>
    <w:p w14:paraId="606C4D54" w14:textId="77777777" w:rsidR="004E3F05" w:rsidRDefault="00135951">
      <w:pPr>
        <w:numPr>
          <w:ilvl w:val="0"/>
          <w:numId w:val="1"/>
        </w:numPr>
        <w:textAlignment w:val="baseline"/>
        <w:rPr>
          <w:lang w:val="en-US"/>
        </w:rPr>
      </w:pPr>
      <w:r>
        <w:rPr>
          <w:lang w:val="en-US"/>
        </w:rPr>
        <w:t xml:space="preserve">3GPP TR 38.825 V1.0.0, Mar. 2019. </w:t>
      </w:r>
    </w:p>
    <w:p w14:paraId="35DF7E09" w14:textId="77777777" w:rsidR="004E3F05" w:rsidRDefault="00135951">
      <w:pPr>
        <w:numPr>
          <w:ilvl w:val="0"/>
          <w:numId w:val="1"/>
        </w:numPr>
        <w:textAlignment w:val="baseline"/>
        <w:rPr>
          <w:lang w:val="en-US"/>
        </w:rPr>
      </w:pPr>
      <w:r>
        <w:rPr>
          <w:lang w:val="en-US"/>
        </w:rPr>
        <w:t>3GPP TR 22.804 V1.2.0, May 2018.</w:t>
      </w:r>
    </w:p>
    <w:p w14:paraId="59F2F609" w14:textId="77777777" w:rsidR="004E3F05" w:rsidRDefault="00135951">
      <w:pPr>
        <w:numPr>
          <w:ilvl w:val="0"/>
          <w:numId w:val="1"/>
        </w:numPr>
        <w:textAlignment w:val="baseline"/>
        <w:rPr>
          <w:lang w:val="en-US"/>
        </w:rPr>
      </w:pPr>
      <w:r>
        <w:rPr>
          <w:lang w:val="en-US"/>
        </w:rPr>
        <w:t>R2-1907233, “Solutions to mitigate the periodicity misalignment between TSC traffic and CG/SPS”, Huawei</w:t>
      </w:r>
    </w:p>
    <w:p w14:paraId="58D59E25" w14:textId="77777777" w:rsidR="004E3F05" w:rsidRDefault="00135951">
      <w:pPr>
        <w:numPr>
          <w:ilvl w:val="0"/>
          <w:numId w:val="1"/>
        </w:numPr>
        <w:textAlignment w:val="baseline"/>
        <w:rPr>
          <w:lang w:val="en-US"/>
        </w:rPr>
      </w:pPr>
      <w:r>
        <w:rPr>
          <w:lang w:val="en-US"/>
        </w:rPr>
        <w:t>R2-1907232, “Discussion on supporting integer multiple of one slot for CG and SPS”, Huawei</w:t>
      </w:r>
    </w:p>
    <w:p w14:paraId="1620DA58" w14:textId="77777777" w:rsidR="004E3F05" w:rsidRDefault="00135951">
      <w:pPr>
        <w:numPr>
          <w:ilvl w:val="0"/>
          <w:numId w:val="1"/>
        </w:numPr>
        <w:textAlignment w:val="baseline"/>
        <w:rPr>
          <w:lang w:val="en-US"/>
        </w:rPr>
      </w:pPr>
      <w:r>
        <w:rPr>
          <w:lang w:val="en-US"/>
        </w:rPr>
        <w:t>R2-1906841, “On support of non-integer multiple of CG/SPS periodicities”, Ericsson</w:t>
      </w:r>
    </w:p>
    <w:p w14:paraId="056520D6" w14:textId="77777777" w:rsidR="004E3F05" w:rsidRDefault="00135951">
      <w:pPr>
        <w:numPr>
          <w:ilvl w:val="0"/>
          <w:numId w:val="1"/>
        </w:numPr>
        <w:textAlignment w:val="baseline"/>
        <w:rPr>
          <w:lang w:val="en-US"/>
        </w:rPr>
      </w:pPr>
      <w:r>
        <w:rPr>
          <w:lang w:val="en-US"/>
        </w:rPr>
        <w:t>R2-1906185, “Further consideration on QoS enhancements”, ZTE</w:t>
      </w:r>
    </w:p>
    <w:p w14:paraId="13A9746E" w14:textId="77777777" w:rsidR="004E3F05" w:rsidRDefault="00135951">
      <w:pPr>
        <w:numPr>
          <w:ilvl w:val="0"/>
          <w:numId w:val="1"/>
        </w:numPr>
        <w:textAlignment w:val="baseline"/>
        <w:rPr>
          <w:lang w:val="en-US"/>
        </w:rPr>
      </w:pPr>
      <w:r>
        <w:rPr>
          <w:lang w:val="en-US"/>
        </w:rPr>
        <w:t xml:space="preserve">R2-1905694, “Consideration on periodicity misalignment between TSN traffic periodicity and CG periodicity”, </w:t>
      </w:r>
      <w:proofErr w:type="spellStart"/>
      <w:r>
        <w:rPr>
          <w:lang w:val="en-US"/>
        </w:rPr>
        <w:t>Spreadtrum</w:t>
      </w:r>
      <w:proofErr w:type="spellEnd"/>
    </w:p>
    <w:p w14:paraId="66E46CC3" w14:textId="77777777" w:rsidR="004E3F05" w:rsidRDefault="00135951">
      <w:pPr>
        <w:numPr>
          <w:ilvl w:val="0"/>
          <w:numId w:val="1"/>
        </w:numPr>
        <w:textAlignment w:val="baseline"/>
        <w:rPr>
          <w:lang w:val="en-US"/>
        </w:rPr>
      </w:pPr>
      <w:r>
        <w:rPr>
          <w:lang w:val="en-US"/>
        </w:rPr>
        <w:t xml:space="preserve">R2-1907198, Nokia, Nokia Shanghai Bell, “Support for TSC message periodicities of non-integer multiple of NR </w:t>
      </w:r>
      <w:r>
        <w:rPr>
          <w:lang w:val="en-US"/>
        </w:rPr>
        <w:t>CG/SPS periodicities”</w:t>
      </w:r>
    </w:p>
    <w:p w14:paraId="642D55A5" w14:textId="2ECBD9FD" w:rsidR="004E3F05" w:rsidRPr="00173AE6" w:rsidRDefault="00135951">
      <w:pPr>
        <w:numPr>
          <w:ilvl w:val="0"/>
          <w:numId w:val="1"/>
        </w:numPr>
        <w:textAlignment w:val="baseline"/>
      </w:pPr>
      <w:r>
        <w:rPr>
          <w:lang w:val="en-US"/>
        </w:rPr>
        <w:t xml:space="preserve"> R2-1908626, </w:t>
      </w:r>
      <w:r>
        <w:rPr>
          <w:i/>
          <w:lang w:val="en-US"/>
        </w:rPr>
        <w:t xml:space="preserve">Reply LS on SPS/CG for </w:t>
      </w:r>
      <w:proofErr w:type="spellStart"/>
      <w:r>
        <w:rPr>
          <w:i/>
          <w:lang w:val="en-US"/>
        </w:rPr>
        <w:t>IIoT</w:t>
      </w:r>
      <w:proofErr w:type="spellEnd"/>
      <w:r>
        <w:rPr>
          <w:lang w:val="en-US"/>
        </w:rPr>
        <w:t>, Source: RAN1</w:t>
      </w:r>
    </w:p>
    <w:p w14:paraId="5FFD59CD" w14:textId="7C1807E8" w:rsidR="000E2DB3" w:rsidRDefault="00D1333F" w:rsidP="001D6402">
      <w:pPr>
        <w:textAlignment w:val="baseline"/>
      </w:pPr>
      <w:r w:rsidRPr="001D6402">
        <w:rPr>
          <w:lang w:val="en-US"/>
        </w:rPr>
        <w:t xml:space="preserve">[11] </w:t>
      </w:r>
      <w:r w:rsidR="007E06B7">
        <w:rPr>
          <w:lang w:val="en-US"/>
        </w:rPr>
        <w:t xml:space="preserve">Email discussion </w:t>
      </w:r>
      <w:r w:rsidR="007E06B7" w:rsidRPr="007E06B7">
        <w:rPr>
          <w:lang w:val="en-US"/>
        </w:rPr>
        <w:t>[107#55][NR IIOT] CG/SPS for TSC (</w:t>
      </w:r>
      <w:proofErr w:type="spellStart"/>
      <w:r w:rsidR="007E06B7" w:rsidRPr="007E06B7">
        <w:rPr>
          <w:lang w:val="en-US"/>
        </w:rPr>
        <w:t>Oppo</w:t>
      </w:r>
      <w:proofErr w:type="spellEnd"/>
      <w:r w:rsidR="007E06B7" w:rsidRPr="007E06B7">
        <w:rPr>
          <w:lang w:val="en-US"/>
        </w:rPr>
        <w:t>)</w:t>
      </w:r>
    </w:p>
    <w:sectPr w:rsidR="000E2DB3">
      <w:type w:val="continuous"/>
      <w:pgSz w:w="11906" w:h="16838"/>
      <w:pgMar w:top="1416" w:right="1133" w:bottom="1133" w:left="1133" w:header="850" w:footer="340" w:gutter="0"/>
      <w:cols w:space="720"/>
      <w:formProt w:val="0"/>
      <w:docGrid w:linePitch="272"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4CAA21" w14:textId="77777777" w:rsidR="00F25591" w:rsidRDefault="00F25591">
      <w:pPr>
        <w:spacing w:after="0"/>
      </w:pPr>
      <w:r>
        <w:separator/>
      </w:r>
    </w:p>
  </w:endnote>
  <w:endnote w:type="continuationSeparator" w:id="0">
    <w:p w14:paraId="392E130D" w14:textId="77777777" w:rsidR="00F25591" w:rsidRDefault="00F25591">
      <w:pPr>
        <w:spacing w:after="0"/>
      </w:pPr>
      <w:r>
        <w:continuationSeparator/>
      </w:r>
    </w:p>
  </w:endnote>
  <w:endnote w:type="continuationNotice" w:id="1">
    <w:p w14:paraId="36BC7B78" w14:textId="77777777" w:rsidR="00F25591" w:rsidRDefault="00F2559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Helvetica">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Liberation Sans">
    <w:altName w:val="Arial"/>
    <w:charset w:val="01"/>
    <w:family w:val="swiss"/>
    <w:pitch w:val="variable"/>
  </w:font>
  <w:font w:name="Noto Sans CJK SC">
    <w:panose1 w:val="00000000000000000000"/>
    <w:charset w:val="00"/>
    <w:family w:val="roman"/>
    <w:notTrueType/>
    <w:pitch w:val="default"/>
  </w:font>
  <w:font w:name="Lohit Devanagari">
    <w:altName w:val="Cambria"/>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EE"/>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92FF10" w14:textId="77777777" w:rsidR="00F25591" w:rsidRDefault="00F2559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1C1057" w14:textId="77777777" w:rsidR="00F25591" w:rsidRDefault="00F2559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98CB64" w14:textId="77777777" w:rsidR="00F25591" w:rsidRDefault="00F255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6CDB84" w14:textId="77777777" w:rsidR="00F25591" w:rsidRDefault="00F25591">
      <w:pPr>
        <w:spacing w:after="0"/>
      </w:pPr>
      <w:r>
        <w:separator/>
      </w:r>
    </w:p>
  </w:footnote>
  <w:footnote w:type="continuationSeparator" w:id="0">
    <w:p w14:paraId="3891D5C5" w14:textId="77777777" w:rsidR="00F25591" w:rsidRDefault="00F25591">
      <w:pPr>
        <w:spacing w:after="0"/>
      </w:pPr>
      <w:r>
        <w:continuationSeparator/>
      </w:r>
    </w:p>
  </w:footnote>
  <w:footnote w:type="continuationNotice" w:id="1">
    <w:p w14:paraId="4082084D" w14:textId="77777777" w:rsidR="00F25591" w:rsidRDefault="00F2559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CBDF30" w14:textId="77777777" w:rsidR="00F25591" w:rsidRDefault="00F2559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D31EA9" w14:textId="77777777" w:rsidR="00F25591" w:rsidRDefault="00F2559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4B71D1" w14:textId="77777777" w:rsidR="00F25591" w:rsidRDefault="00F255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7861EF"/>
    <w:multiLevelType w:val="multilevel"/>
    <w:tmpl w:val="BADAC914"/>
    <w:lvl w:ilvl="0">
      <w:start w:val="1"/>
      <w:numFmt w:val="upperLetter"/>
      <w:lvlText w:val="%1."/>
      <w:lvlJc w:val="left"/>
      <w:pPr>
        <w:ind w:left="720" w:hanging="360"/>
      </w:pPr>
      <w:rPr>
        <w:lang w:val="en-U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 w15:restartNumberingAfterBreak="0">
    <w:nsid w:val="03433F63"/>
    <w:multiLevelType w:val="hybridMultilevel"/>
    <w:tmpl w:val="996C451A"/>
    <w:lvl w:ilvl="0" w:tplc="0A5A7D2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4B69AA"/>
    <w:multiLevelType w:val="hybridMultilevel"/>
    <w:tmpl w:val="EF8EA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255166"/>
    <w:multiLevelType w:val="multilevel"/>
    <w:tmpl w:val="99BAF7C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FC53231"/>
    <w:multiLevelType w:val="hybridMultilevel"/>
    <w:tmpl w:val="D65066A4"/>
    <w:lvl w:ilvl="0" w:tplc="FF68DC88">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26619C"/>
    <w:multiLevelType w:val="multilevel"/>
    <w:tmpl w:val="99BAF7C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B983CCC"/>
    <w:multiLevelType w:val="multilevel"/>
    <w:tmpl w:val="2DE0329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 w15:restartNumberingAfterBreak="0">
    <w:nsid w:val="31C46295"/>
    <w:multiLevelType w:val="hybridMultilevel"/>
    <w:tmpl w:val="6E52AFEA"/>
    <w:lvl w:ilvl="0" w:tplc="D618040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855F5D"/>
    <w:multiLevelType w:val="multilevel"/>
    <w:tmpl w:val="644C5108"/>
    <w:lvl w:ilvl="0">
      <w:start w:val="1"/>
      <w:numFmt w:val="bullet"/>
      <w:lvlText w:val="•"/>
      <w:lvlJc w:val="left"/>
      <w:pPr>
        <w:tabs>
          <w:tab w:val="num" w:pos="360"/>
        </w:tabs>
        <w:ind w:left="360" w:hanging="360"/>
      </w:pPr>
      <w:rPr>
        <w:rFonts w:ascii="Arial" w:hAnsi="Arial" w:cs="Arial" w:hint="default"/>
      </w:rPr>
    </w:lvl>
    <w:lvl w:ilvl="1">
      <w:start w:val="43"/>
      <w:numFmt w:val="bullet"/>
      <w:lvlText w:val="•"/>
      <w:lvlJc w:val="left"/>
      <w:pPr>
        <w:tabs>
          <w:tab w:val="num" w:pos="1080"/>
        </w:tabs>
        <w:ind w:left="1080" w:hanging="360"/>
      </w:pPr>
      <w:rPr>
        <w:rFonts w:ascii="Arial" w:hAnsi="Arial" w:cs="Arial" w:hint="default"/>
      </w:rPr>
    </w:lvl>
    <w:lvl w:ilvl="2">
      <w:start w:val="1"/>
      <w:numFmt w:val="bullet"/>
      <w:lvlText w:val="•"/>
      <w:lvlJc w:val="left"/>
      <w:pPr>
        <w:tabs>
          <w:tab w:val="num" w:pos="1800"/>
        </w:tabs>
        <w:ind w:left="1800" w:hanging="360"/>
      </w:pPr>
      <w:rPr>
        <w:rFonts w:ascii="Arial" w:hAnsi="Arial" w:cs="Arial" w:hint="default"/>
      </w:rPr>
    </w:lvl>
    <w:lvl w:ilvl="3">
      <w:start w:val="1"/>
      <w:numFmt w:val="bullet"/>
      <w:lvlText w:val="•"/>
      <w:lvlJc w:val="left"/>
      <w:pPr>
        <w:tabs>
          <w:tab w:val="num" w:pos="2520"/>
        </w:tabs>
        <w:ind w:left="2520" w:hanging="360"/>
      </w:pPr>
      <w:rPr>
        <w:rFonts w:ascii="Arial" w:hAnsi="Arial" w:cs="Arial" w:hint="default"/>
      </w:rPr>
    </w:lvl>
    <w:lvl w:ilvl="4">
      <w:start w:val="1"/>
      <w:numFmt w:val="bullet"/>
      <w:lvlText w:val="•"/>
      <w:lvlJc w:val="left"/>
      <w:pPr>
        <w:tabs>
          <w:tab w:val="num" w:pos="3240"/>
        </w:tabs>
        <w:ind w:left="3240" w:hanging="360"/>
      </w:pPr>
      <w:rPr>
        <w:rFonts w:ascii="Arial" w:hAnsi="Arial" w:cs="Arial" w:hint="default"/>
      </w:rPr>
    </w:lvl>
    <w:lvl w:ilvl="5">
      <w:start w:val="1"/>
      <w:numFmt w:val="bullet"/>
      <w:lvlText w:val="•"/>
      <w:lvlJc w:val="left"/>
      <w:pPr>
        <w:tabs>
          <w:tab w:val="num" w:pos="3960"/>
        </w:tabs>
        <w:ind w:left="3960" w:hanging="360"/>
      </w:pPr>
      <w:rPr>
        <w:rFonts w:ascii="Arial" w:hAnsi="Arial" w:cs="Arial" w:hint="default"/>
      </w:rPr>
    </w:lvl>
    <w:lvl w:ilvl="6">
      <w:start w:val="1"/>
      <w:numFmt w:val="bullet"/>
      <w:lvlText w:val="•"/>
      <w:lvlJc w:val="left"/>
      <w:pPr>
        <w:tabs>
          <w:tab w:val="num" w:pos="4680"/>
        </w:tabs>
        <w:ind w:left="4680" w:hanging="360"/>
      </w:pPr>
      <w:rPr>
        <w:rFonts w:ascii="Arial" w:hAnsi="Arial" w:cs="Arial" w:hint="default"/>
      </w:rPr>
    </w:lvl>
    <w:lvl w:ilvl="7">
      <w:start w:val="1"/>
      <w:numFmt w:val="bullet"/>
      <w:lvlText w:val="•"/>
      <w:lvlJc w:val="left"/>
      <w:pPr>
        <w:tabs>
          <w:tab w:val="num" w:pos="5400"/>
        </w:tabs>
        <w:ind w:left="5400" w:hanging="360"/>
      </w:pPr>
      <w:rPr>
        <w:rFonts w:ascii="Arial" w:hAnsi="Arial" w:cs="Arial" w:hint="default"/>
      </w:rPr>
    </w:lvl>
    <w:lvl w:ilvl="8">
      <w:start w:val="1"/>
      <w:numFmt w:val="bullet"/>
      <w:lvlText w:val="•"/>
      <w:lvlJc w:val="left"/>
      <w:pPr>
        <w:tabs>
          <w:tab w:val="num" w:pos="6120"/>
        </w:tabs>
        <w:ind w:left="6120" w:hanging="360"/>
      </w:pPr>
      <w:rPr>
        <w:rFonts w:ascii="Arial" w:hAnsi="Arial" w:cs="Arial" w:hint="default"/>
      </w:rPr>
    </w:lvl>
  </w:abstractNum>
  <w:abstractNum w:abstractNumId="9" w15:restartNumberingAfterBreak="0">
    <w:nsid w:val="558B098B"/>
    <w:multiLevelType w:val="hybridMultilevel"/>
    <w:tmpl w:val="B79EB2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7F04D85"/>
    <w:multiLevelType w:val="multilevel"/>
    <w:tmpl w:val="5D2CDA0E"/>
    <w:lvl w:ilvl="0">
      <w:start w:val="1"/>
      <w:numFmt w:val="bullet"/>
      <w:lvlText w:val=""/>
      <w:lvlJc w:val="left"/>
      <w:pPr>
        <w:tabs>
          <w:tab w:val="num" w:pos="1619"/>
        </w:tabs>
        <w:ind w:left="1619" w:hanging="360"/>
      </w:pPr>
      <w:rPr>
        <w:rFonts w:ascii="Symbol" w:hAnsi="Symbol" w:cs="Symbol" w:hint="default"/>
        <w:b/>
        <w:i w:val="0"/>
        <w:color w:val="auto"/>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1" w15:restartNumberingAfterBreak="0">
    <w:nsid w:val="58C305EF"/>
    <w:multiLevelType w:val="multilevel"/>
    <w:tmpl w:val="D9EA9CF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6DBD2C28"/>
    <w:multiLevelType w:val="multilevel"/>
    <w:tmpl w:val="5BEE1F82"/>
    <w:lvl w:ilvl="0">
      <w:start w:val="1"/>
      <w:numFmt w:val="decimal"/>
      <w:lvlText w:val="[%1]"/>
      <w:lvlJc w:val="left"/>
      <w:pPr>
        <w:tabs>
          <w:tab w:val="num" w:pos="360"/>
        </w:tabs>
        <w:ind w:left="357" w:hanging="357"/>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3" w15:restartNumberingAfterBreak="0">
    <w:nsid w:val="7A637680"/>
    <w:multiLevelType w:val="multilevel"/>
    <w:tmpl w:val="98208E46"/>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4" w15:restartNumberingAfterBreak="0">
    <w:nsid w:val="7F4F3CB6"/>
    <w:multiLevelType w:val="multilevel"/>
    <w:tmpl w:val="99BAF7C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7F7C7AEC"/>
    <w:multiLevelType w:val="hybridMultilevel"/>
    <w:tmpl w:val="C032FA26"/>
    <w:lvl w:ilvl="0" w:tplc="AB569F9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2"/>
  </w:num>
  <w:num w:numId="2">
    <w:abstractNumId w:val="6"/>
  </w:num>
  <w:num w:numId="3">
    <w:abstractNumId w:val="10"/>
  </w:num>
  <w:num w:numId="4">
    <w:abstractNumId w:val="3"/>
  </w:num>
  <w:num w:numId="5">
    <w:abstractNumId w:val="0"/>
  </w:num>
  <w:num w:numId="6">
    <w:abstractNumId w:val="8"/>
  </w:num>
  <w:num w:numId="7">
    <w:abstractNumId w:val="13"/>
  </w:num>
  <w:num w:numId="8">
    <w:abstractNumId w:val="15"/>
  </w:num>
  <w:num w:numId="9">
    <w:abstractNumId w:val="4"/>
  </w:num>
  <w:num w:numId="10">
    <w:abstractNumId w:val="2"/>
  </w:num>
  <w:num w:numId="11">
    <w:abstractNumId w:val="11"/>
  </w:num>
  <w:num w:numId="12">
    <w:abstractNumId w:val="9"/>
  </w:num>
  <w:num w:numId="13">
    <w:abstractNumId w:val="14"/>
  </w:num>
  <w:num w:numId="14">
    <w:abstractNumId w:val="5"/>
  </w:num>
  <w:num w:numId="15">
    <w:abstractNumId w:val="7"/>
  </w:num>
  <w:num w:numId="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7"/>
  <w:doNotDisplayPageBoundaries/>
  <w:embedSystemFonts/>
  <w:proofState w:spelling="clean" w:grammar="clean"/>
  <w:defaultTabStop w:val="284"/>
  <w:hyphenationZone w:val="425"/>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3F05"/>
    <w:rsid w:val="00002D20"/>
    <w:rsid w:val="00017747"/>
    <w:rsid w:val="00023D34"/>
    <w:rsid w:val="00024C49"/>
    <w:rsid w:val="00027C7D"/>
    <w:rsid w:val="00030518"/>
    <w:rsid w:val="0003573D"/>
    <w:rsid w:val="000435A2"/>
    <w:rsid w:val="00046F84"/>
    <w:rsid w:val="000522A7"/>
    <w:rsid w:val="00054D7D"/>
    <w:rsid w:val="0005626B"/>
    <w:rsid w:val="00060D07"/>
    <w:rsid w:val="00063241"/>
    <w:rsid w:val="0006645D"/>
    <w:rsid w:val="00071F89"/>
    <w:rsid w:val="000A2358"/>
    <w:rsid w:val="000A2B21"/>
    <w:rsid w:val="000B03A8"/>
    <w:rsid w:val="000C7C94"/>
    <w:rsid w:val="000D168C"/>
    <w:rsid w:val="000D3057"/>
    <w:rsid w:val="000E2DB3"/>
    <w:rsid w:val="000E6AEC"/>
    <w:rsid w:val="0010098E"/>
    <w:rsid w:val="001037C5"/>
    <w:rsid w:val="001201E7"/>
    <w:rsid w:val="001234DD"/>
    <w:rsid w:val="0013167B"/>
    <w:rsid w:val="00132C2E"/>
    <w:rsid w:val="00133CA4"/>
    <w:rsid w:val="0013579E"/>
    <w:rsid w:val="00135951"/>
    <w:rsid w:val="001363CB"/>
    <w:rsid w:val="001409B3"/>
    <w:rsid w:val="00146672"/>
    <w:rsid w:val="00150902"/>
    <w:rsid w:val="0015679B"/>
    <w:rsid w:val="00156E9B"/>
    <w:rsid w:val="001666B7"/>
    <w:rsid w:val="0016721E"/>
    <w:rsid w:val="00173AE6"/>
    <w:rsid w:val="001751BB"/>
    <w:rsid w:val="0018655F"/>
    <w:rsid w:val="001B03DC"/>
    <w:rsid w:val="001C118F"/>
    <w:rsid w:val="001C1514"/>
    <w:rsid w:val="001D52CE"/>
    <w:rsid w:val="001D5BE0"/>
    <w:rsid w:val="001D6402"/>
    <w:rsid w:val="001D659C"/>
    <w:rsid w:val="001E362F"/>
    <w:rsid w:val="001E76A4"/>
    <w:rsid w:val="001F0088"/>
    <w:rsid w:val="001F00B9"/>
    <w:rsid w:val="001F091E"/>
    <w:rsid w:val="001F238B"/>
    <w:rsid w:val="00203E81"/>
    <w:rsid w:val="00204447"/>
    <w:rsid w:val="00207B47"/>
    <w:rsid w:val="00211B3E"/>
    <w:rsid w:val="002127D6"/>
    <w:rsid w:val="002153CC"/>
    <w:rsid w:val="00221AB3"/>
    <w:rsid w:val="00227063"/>
    <w:rsid w:val="00227F36"/>
    <w:rsid w:val="00231D09"/>
    <w:rsid w:val="00234835"/>
    <w:rsid w:val="00250CC1"/>
    <w:rsid w:val="002656EF"/>
    <w:rsid w:val="0027398F"/>
    <w:rsid w:val="002818CD"/>
    <w:rsid w:val="00282633"/>
    <w:rsid w:val="00285252"/>
    <w:rsid w:val="0028541C"/>
    <w:rsid w:val="002856CB"/>
    <w:rsid w:val="002B02D3"/>
    <w:rsid w:val="002B44B3"/>
    <w:rsid w:val="002C4F90"/>
    <w:rsid w:val="002C7D1A"/>
    <w:rsid w:val="002D1B72"/>
    <w:rsid w:val="002D3FA2"/>
    <w:rsid w:val="002D5577"/>
    <w:rsid w:val="002D6757"/>
    <w:rsid w:val="002D68F6"/>
    <w:rsid w:val="002E62FC"/>
    <w:rsid w:val="002F16A5"/>
    <w:rsid w:val="0030797F"/>
    <w:rsid w:val="0031176C"/>
    <w:rsid w:val="00322030"/>
    <w:rsid w:val="00322A90"/>
    <w:rsid w:val="00330A34"/>
    <w:rsid w:val="0033509E"/>
    <w:rsid w:val="003370DD"/>
    <w:rsid w:val="003401A5"/>
    <w:rsid w:val="00350C58"/>
    <w:rsid w:val="003739C8"/>
    <w:rsid w:val="00375A45"/>
    <w:rsid w:val="003853C9"/>
    <w:rsid w:val="003931B8"/>
    <w:rsid w:val="003A5DD7"/>
    <w:rsid w:val="003B0FB1"/>
    <w:rsid w:val="003D4815"/>
    <w:rsid w:val="003D5770"/>
    <w:rsid w:val="003D7C53"/>
    <w:rsid w:val="003E5B6D"/>
    <w:rsid w:val="00462979"/>
    <w:rsid w:val="00464042"/>
    <w:rsid w:val="004655C5"/>
    <w:rsid w:val="0047355E"/>
    <w:rsid w:val="00473AE7"/>
    <w:rsid w:val="004830ED"/>
    <w:rsid w:val="004865D8"/>
    <w:rsid w:val="004914FD"/>
    <w:rsid w:val="004946BA"/>
    <w:rsid w:val="004962BB"/>
    <w:rsid w:val="004A5FDD"/>
    <w:rsid w:val="004C324B"/>
    <w:rsid w:val="004D16A2"/>
    <w:rsid w:val="004D3A1D"/>
    <w:rsid w:val="004E00FB"/>
    <w:rsid w:val="004E2DEB"/>
    <w:rsid w:val="004E3F05"/>
    <w:rsid w:val="004E6613"/>
    <w:rsid w:val="004F4D92"/>
    <w:rsid w:val="004F5706"/>
    <w:rsid w:val="00502F9B"/>
    <w:rsid w:val="005074A1"/>
    <w:rsid w:val="00507DB4"/>
    <w:rsid w:val="005175FA"/>
    <w:rsid w:val="00517D41"/>
    <w:rsid w:val="005245C8"/>
    <w:rsid w:val="00530BF7"/>
    <w:rsid w:val="00536181"/>
    <w:rsid w:val="00537DBB"/>
    <w:rsid w:val="00545D96"/>
    <w:rsid w:val="005470F0"/>
    <w:rsid w:val="00562B9D"/>
    <w:rsid w:val="00566E47"/>
    <w:rsid w:val="00570757"/>
    <w:rsid w:val="005707A0"/>
    <w:rsid w:val="00575A9F"/>
    <w:rsid w:val="00576C57"/>
    <w:rsid w:val="005779C8"/>
    <w:rsid w:val="0059227D"/>
    <w:rsid w:val="005A0831"/>
    <w:rsid w:val="005B39D3"/>
    <w:rsid w:val="005B5F6A"/>
    <w:rsid w:val="005B6C4D"/>
    <w:rsid w:val="005C38FD"/>
    <w:rsid w:val="005C5575"/>
    <w:rsid w:val="005C5FFA"/>
    <w:rsid w:val="005D1928"/>
    <w:rsid w:val="005E2411"/>
    <w:rsid w:val="005E25F3"/>
    <w:rsid w:val="005E6358"/>
    <w:rsid w:val="005E63F7"/>
    <w:rsid w:val="005F44CD"/>
    <w:rsid w:val="00607389"/>
    <w:rsid w:val="006130E0"/>
    <w:rsid w:val="0061501A"/>
    <w:rsid w:val="00616287"/>
    <w:rsid w:val="00620189"/>
    <w:rsid w:val="006212B8"/>
    <w:rsid w:val="006265B6"/>
    <w:rsid w:val="006326EB"/>
    <w:rsid w:val="006376F1"/>
    <w:rsid w:val="00640593"/>
    <w:rsid w:val="0064286C"/>
    <w:rsid w:val="00643740"/>
    <w:rsid w:val="00643C7E"/>
    <w:rsid w:val="00644730"/>
    <w:rsid w:val="00644D99"/>
    <w:rsid w:val="0064777C"/>
    <w:rsid w:val="00656871"/>
    <w:rsid w:val="006648AF"/>
    <w:rsid w:val="00666CB2"/>
    <w:rsid w:val="00667EF8"/>
    <w:rsid w:val="00672B70"/>
    <w:rsid w:val="00675C8A"/>
    <w:rsid w:val="00681B7E"/>
    <w:rsid w:val="00683285"/>
    <w:rsid w:val="00686744"/>
    <w:rsid w:val="006A3BFC"/>
    <w:rsid w:val="006B770F"/>
    <w:rsid w:val="006C64FC"/>
    <w:rsid w:val="006D7917"/>
    <w:rsid w:val="006E095F"/>
    <w:rsid w:val="006E1DA8"/>
    <w:rsid w:val="006E1FC4"/>
    <w:rsid w:val="006F23A8"/>
    <w:rsid w:val="006F7CBA"/>
    <w:rsid w:val="007036A0"/>
    <w:rsid w:val="007121E7"/>
    <w:rsid w:val="0071373F"/>
    <w:rsid w:val="00715B64"/>
    <w:rsid w:val="00717402"/>
    <w:rsid w:val="007175EC"/>
    <w:rsid w:val="0073524A"/>
    <w:rsid w:val="00737545"/>
    <w:rsid w:val="00747B25"/>
    <w:rsid w:val="007515C6"/>
    <w:rsid w:val="007521E7"/>
    <w:rsid w:val="007666F2"/>
    <w:rsid w:val="00772317"/>
    <w:rsid w:val="0077712B"/>
    <w:rsid w:val="007773B7"/>
    <w:rsid w:val="00777E34"/>
    <w:rsid w:val="00784B9C"/>
    <w:rsid w:val="00792F86"/>
    <w:rsid w:val="007931D8"/>
    <w:rsid w:val="007B16F8"/>
    <w:rsid w:val="007B6B6A"/>
    <w:rsid w:val="007C23EE"/>
    <w:rsid w:val="007C6DF9"/>
    <w:rsid w:val="007D5AC4"/>
    <w:rsid w:val="007E0237"/>
    <w:rsid w:val="007E06B7"/>
    <w:rsid w:val="007E1D6A"/>
    <w:rsid w:val="007F2F74"/>
    <w:rsid w:val="007F54CA"/>
    <w:rsid w:val="007F6A8E"/>
    <w:rsid w:val="008000D2"/>
    <w:rsid w:val="00807FAD"/>
    <w:rsid w:val="00814DB6"/>
    <w:rsid w:val="00821249"/>
    <w:rsid w:val="0082583B"/>
    <w:rsid w:val="008269A8"/>
    <w:rsid w:val="00830817"/>
    <w:rsid w:val="00833A1F"/>
    <w:rsid w:val="00834029"/>
    <w:rsid w:val="008344FB"/>
    <w:rsid w:val="0083555A"/>
    <w:rsid w:val="00836976"/>
    <w:rsid w:val="00836B31"/>
    <w:rsid w:val="00841463"/>
    <w:rsid w:val="00843630"/>
    <w:rsid w:val="0085477F"/>
    <w:rsid w:val="00865800"/>
    <w:rsid w:val="00865ECB"/>
    <w:rsid w:val="00876B92"/>
    <w:rsid w:val="0088226E"/>
    <w:rsid w:val="008917E9"/>
    <w:rsid w:val="00892176"/>
    <w:rsid w:val="0089473A"/>
    <w:rsid w:val="008A2146"/>
    <w:rsid w:val="008B4F89"/>
    <w:rsid w:val="008B7F9B"/>
    <w:rsid w:val="008C2DF3"/>
    <w:rsid w:val="008C4C52"/>
    <w:rsid w:val="008C64EA"/>
    <w:rsid w:val="008D48A9"/>
    <w:rsid w:val="008D7F2B"/>
    <w:rsid w:val="008E3F37"/>
    <w:rsid w:val="008E4E3B"/>
    <w:rsid w:val="008E5371"/>
    <w:rsid w:val="008F5AD0"/>
    <w:rsid w:val="00907EDA"/>
    <w:rsid w:val="00922E97"/>
    <w:rsid w:val="009235DA"/>
    <w:rsid w:val="00944E0F"/>
    <w:rsid w:val="00944F8F"/>
    <w:rsid w:val="00945564"/>
    <w:rsid w:val="009518EF"/>
    <w:rsid w:val="00953726"/>
    <w:rsid w:val="00970B59"/>
    <w:rsid w:val="00972CFB"/>
    <w:rsid w:val="009762D6"/>
    <w:rsid w:val="00980A9A"/>
    <w:rsid w:val="00980F17"/>
    <w:rsid w:val="00981538"/>
    <w:rsid w:val="009971BE"/>
    <w:rsid w:val="009977CD"/>
    <w:rsid w:val="009A7986"/>
    <w:rsid w:val="009B1911"/>
    <w:rsid w:val="009C00D9"/>
    <w:rsid w:val="009D119F"/>
    <w:rsid w:val="009D7B5A"/>
    <w:rsid w:val="009E2BC3"/>
    <w:rsid w:val="009E4610"/>
    <w:rsid w:val="009E5439"/>
    <w:rsid w:val="009F7C84"/>
    <w:rsid w:val="00A006AA"/>
    <w:rsid w:val="00A164C1"/>
    <w:rsid w:val="00A16E37"/>
    <w:rsid w:val="00A225FE"/>
    <w:rsid w:val="00A2430B"/>
    <w:rsid w:val="00A25AF5"/>
    <w:rsid w:val="00A27455"/>
    <w:rsid w:val="00A35014"/>
    <w:rsid w:val="00A37FA7"/>
    <w:rsid w:val="00A44860"/>
    <w:rsid w:val="00A459F0"/>
    <w:rsid w:val="00A466B3"/>
    <w:rsid w:val="00A4785F"/>
    <w:rsid w:val="00A55833"/>
    <w:rsid w:val="00A57C1E"/>
    <w:rsid w:val="00A6715C"/>
    <w:rsid w:val="00A83857"/>
    <w:rsid w:val="00A909C6"/>
    <w:rsid w:val="00AA02FE"/>
    <w:rsid w:val="00AA450B"/>
    <w:rsid w:val="00AB1CD7"/>
    <w:rsid w:val="00AB6EA0"/>
    <w:rsid w:val="00AC17E1"/>
    <w:rsid w:val="00AC29AA"/>
    <w:rsid w:val="00AC6D36"/>
    <w:rsid w:val="00AD5529"/>
    <w:rsid w:val="00AE0ADB"/>
    <w:rsid w:val="00AE58FF"/>
    <w:rsid w:val="00AE639B"/>
    <w:rsid w:val="00AF4707"/>
    <w:rsid w:val="00B12E42"/>
    <w:rsid w:val="00B32831"/>
    <w:rsid w:val="00B52207"/>
    <w:rsid w:val="00B55B6D"/>
    <w:rsid w:val="00B6093A"/>
    <w:rsid w:val="00B6299E"/>
    <w:rsid w:val="00B7277C"/>
    <w:rsid w:val="00B7337A"/>
    <w:rsid w:val="00B73EAF"/>
    <w:rsid w:val="00B816B6"/>
    <w:rsid w:val="00B85385"/>
    <w:rsid w:val="00B9052F"/>
    <w:rsid w:val="00B92D2C"/>
    <w:rsid w:val="00B93238"/>
    <w:rsid w:val="00BB596F"/>
    <w:rsid w:val="00BC53B3"/>
    <w:rsid w:val="00BC7804"/>
    <w:rsid w:val="00BD2495"/>
    <w:rsid w:val="00BE2C86"/>
    <w:rsid w:val="00BE6D25"/>
    <w:rsid w:val="00BF318D"/>
    <w:rsid w:val="00BF3F19"/>
    <w:rsid w:val="00C0348A"/>
    <w:rsid w:val="00C07A71"/>
    <w:rsid w:val="00C228E0"/>
    <w:rsid w:val="00C24BE1"/>
    <w:rsid w:val="00C34EFD"/>
    <w:rsid w:val="00C3562F"/>
    <w:rsid w:val="00C40BE2"/>
    <w:rsid w:val="00C41608"/>
    <w:rsid w:val="00C53322"/>
    <w:rsid w:val="00C621A4"/>
    <w:rsid w:val="00C62A59"/>
    <w:rsid w:val="00C70FF5"/>
    <w:rsid w:val="00C727A7"/>
    <w:rsid w:val="00C72FA6"/>
    <w:rsid w:val="00C73562"/>
    <w:rsid w:val="00C83BE1"/>
    <w:rsid w:val="00C86FEC"/>
    <w:rsid w:val="00C93B19"/>
    <w:rsid w:val="00CA1C81"/>
    <w:rsid w:val="00CB61B5"/>
    <w:rsid w:val="00CC26AB"/>
    <w:rsid w:val="00CC3735"/>
    <w:rsid w:val="00CC7B2B"/>
    <w:rsid w:val="00CD3EE2"/>
    <w:rsid w:val="00CD7660"/>
    <w:rsid w:val="00CF76B1"/>
    <w:rsid w:val="00D0400A"/>
    <w:rsid w:val="00D05825"/>
    <w:rsid w:val="00D06542"/>
    <w:rsid w:val="00D1333F"/>
    <w:rsid w:val="00D21076"/>
    <w:rsid w:val="00D226C9"/>
    <w:rsid w:val="00D273B4"/>
    <w:rsid w:val="00D31ADC"/>
    <w:rsid w:val="00D34276"/>
    <w:rsid w:val="00D35D73"/>
    <w:rsid w:val="00D36587"/>
    <w:rsid w:val="00D51E2D"/>
    <w:rsid w:val="00D52CFC"/>
    <w:rsid w:val="00D60108"/>
    <w:rsid w:val="00D62603"/>
    <w:rsid w:val="00D6318F"/>
    <w:rsid w:val="00D63CE7"/>
    <w:rsid w:val="00D64EF4"/>
    <w:rsid w:val="00D7181F"/>
    <w:rsid w:val="00D83658"/>
    <w:rsid w:val="00D8419E"/>
    <w:rsid w:val="00D85A04"/>
    <w:rsid w:val="00DA2190"/>
    <w:rsid w:val="00DA3714"/>
    <w:rsid w:val="00DA612D"/>
    <w:rsid w:val="00DB0CE3"/>
    <w:rsid w:val="00DB19EF"/>
    <w:rsid w:val="00DB563E"/>
    <w:rsid w:val="00DC0A78"/>
    <w:rsid w:val="00DC7DDC"/>
    <w:rsid w:val="00DD1DBE"/>
    <w:rsid w:val="00DD5757"/>
    <w:rsid w:val="00DD6DD0"/>
    <w:rsid w:val="00DE2E31"/>
    <w:rsid w:val="00DE50B8"/>
    <w:rsid w:val="00DE5897"/>
    <w:rsid w:val="00DF2952"/>
    <w:rsid w:val="00DF45DE"/>
    <w:rsid w:val="00E0115F"/>
    <w:rsid w:val="00E04DA7"/>
    <w:rsid w:val="00E05923"/>
    <w:rsid w:val="00E12473"/>
    <w:rsid w:val="00E1450E"/>
    <w:rsid w:val="00E16CD8"/>
    <w:rsid w:val="00E2499B"/>
    <w:rsid w:val="00E259AE"/>
    <w:rsid w:val="00E53B84"/>
    <w:rsid w:val="00E56F02"/>
    <w:rsid w:val="00E710AD"/>
    <w:rsid w:val="00E76FCF"/>
    <w:rsid w:val="00E916E9"/>
    <w:rsid w:val="00E91CAA"/>
    <w:rsid w:val="00E929A1"/>
    <w:rsid w:val="00EA37C4"/>
    <w:rsid w:val="00EA61FA"/>
    <w:rsid w:val="00EB3447"/>
    <w:rsid w:val="00EC144F"/>
    <w:rsid w:val="00EC5CEE"/>
    <w:rsid w:val="00ED2392"/>
    <w:rsid w:val="00ED3D1D"/>
    <w:rsid w:val="00EE57E9"/>
    <w:rsid w:val="00EF21D6"/>
    <w:rsid w:val="00F060F0"/>
    <w:rsid w:val="00F108C2"/>
    <w:rsid w:val="00F12C78"/>
    <w:rsid w:val="00F161A3"/>
    <w:rsid w:val="00F231FF"/>
    <w:rsid w:val="00F25591"/>
    <w:rsid w:val="00F266E6"/>
    <w:rsid w:val="00F310B5"/>
    <w:rsid w:val="00F346DD"/>
    <w:rsid w:val="00F427FE"/>
    <w:rsid w:val="00F4539C"/>
    <w:rsid w:val="00F5100C"/>
    <w:rsid w:val="00F543EF"/>
    <w:rsid w:val="00F54963"/>
    <w:rsid w:val="00F60429"/>
    <w:rsid w:val="00F63A21"/>
    <w:rsid w:val="00F7080A"/>
    <w:rsid w:val="00F73BC1"/>
    <w:rsid w:val="00F742D1"/>
    <w:rsid w:val="00F75F22"/>
    <w:rsid w:val="00F82952"/>
    <w:rsid w:val="00FA418D"/>
    <w:rsid w:val="00FB2227"/>
    <w:rsid w:val="00FB6334"/>
    <w:rsid w:val="00FC3359"/>
    <w:rsid w:val="00FC558E"/>
    <w:rsid w:val="00FC62A8"/>
    <w:rsid w:val="00FD57CA"/>
    <w:rsid w:val="00FD6C40"/>
    <w:rsid w:val="00FD7175"/>
    <w:rsid w:val="00FD7972"/>
    <w:rsid w:val="00FE03A4"/>
    <w:rsid w:val="00FE0B6F"/>
    <w:rsid w:val="00FF05B6"/>
    <w:rsid w:val="00FF2120"/>
    <w:rsid w:val="00FF35FA"/>
    <w:rsid w:val="00FF49BF"/>
    <w:rsid w:val="0822FD78"/>
    <w:rsid w:val="0ACBCA0A"/>
    <w:rsid w:val="105904F1"/>
    <w:rsid w:val="27935F4A"/>
    <w:rsid w:val="2ECBDFA0"/>
    <w:rsid w:val="32D56424"/>
    <w:rsid w:val="36C492DC"/>
    <w:rsid w:val="3AEA2780"/>
    <w:rsid w:val="457EF8EC"/>
    <w:rsid w:val="493B4946"/>
    <w:rsid w:val="5288CF15"/>
    <w:rsid w:val="5A99C6BC"/>
    <w:rsid w:val="5E13CF13"/>
    <w:rsid w:val="627E043F"/>
    <w:rsid w:val="725BC56E"/>
    <w:rsid w:val="779F9296"/>
    <w:rsid w:val="78C5AFCC"/>
    <w:rsid w:val="7BF98FB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E5CB6A8"/>
  <w15:docId w15:val="{E26BE502-F9AA-4616-969B-5432FCE62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FollowedHyperlink" w:qFormat="1"/>
    <w:lsdException w:name="Strong" w:qFormat="1"/>
    <w:lsdException w:name="Emphasis" w:qFormat="1"/>
    <w:lsdException w:name="Document Map" w:qFormat="1"/>
    <w:lsdException w:name="HTML Sample" w:semiHidden="1" w:unhideWhenUsed="1"/>
    <w:lsdException w:name="HTML Variable" w:semiHidden="1" w:unhideWhenUsed="1"/>
    <w:lsdException w:name="Normal Table" w:semiHidden="1" w:unhideWhenUsed="1"/>
    <w:lsdException w:name="annotation subject" w:qFormat="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Unresolved Mention" w:qFormat="1"/>
  </w:latentStyles>
  <w:style w:type="paragraph" w:default="1" w:styleId="Normal">
    <w:name w:val="Normal"/>
    <w:qFormat/>
    <w:rsid w:val="00D21076"/>
    <w:pPr>
      <w:spacing w:after="180"/>
    </w:pPr>
    <w:rPr>
      <w:lang w:eastAsia="en-US"/>
    </w:rPr>
  </w:style>
  <w:style w:type="paragraph" w:styleId="Heading1">
    <w:name w:val="heading 1"/>
    <w:basedOn w:val="Normal"/>
    <w:next w:val="Normal"/>
    <w:qFormat/>
    <w:pPr>
      <w:keepNext/>
      <w:keepLines/>
      <w:pBdr>
        <w:top w:val="single" w:sz="12" w:space="3" w:color="000000"/>
      </w:pBdr>
      <w:spacing w:before="240"/>
      <w:ind w:left="1134" w:hanging="1134"/>
      <w:outlineLvl w:val="0"/>
    </w:pPr>
    <w:rPr>
      <w:rFonts w:ascii="Arial" w:hAnsi="Arial"/>
      <w:sz w:val="36"/>
    </w:rPr>
  </w:style>
  <w:style w:type="paragraph" w:styleId="Heading2">
    <w:name w:val="heading 2"/>
    <w:basedOn w:val="Heading1"/>
    <w:next w:val="Normal"/>
    <w:qFormat/>
    <w:rsid w:val="0003573D"/>
    <w:pPr>
      <w:pBdr>
        <w:top w:val="none" w:sz="0" w:space="0" w:color="auto"/>
      </w:pBdr>
      <w:spacing w:before="180"/>
      <w:outlineLvl w:val="1"/>
    </w:pPr>
    <w:rPr>
      <w:sz w:val="32"/>
    </w:rPr>
  </w:style>
  <w:style w:type="paragraph" w:styleId="Heading3">
    <w:name w:val="heading 3"/>
    <w:basedOn w:val="Heading2"/>
    <w:next w:val="Normal"/>
    <w:qFormat/>
    <w:rsid w:val="0003573D"/>
    <w:pPr>
      <w:spacing w:before="120"/>
      <w:outlineLvl w:val="2"/>
    </w:pPr>
    <w:rPr>
      <w:sz w:val="28"/>
    </w:rPr>
  </w:style>
  <w:style w:type="paragraph" w:styleId="Heading4">
    <w:name w:val="heading 4"/>
    <w:basedOn w:val="Heading3"/>
    <w:next w:val="Normal"/>
    <w:qFormat/>
    <w:rsid w:val="0003573D"/>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next w:val="Normal"/>
    <w:qFormat/>
    <w:pPr>
      <w:widowControl w:val="0"/>
      <w:outlineLvl w:val="5"/>
    </w:pPr>
  </w:style>
  <w:style w:type="paragraph" w:styleId="Heading7">
    <w:name w:val="heading 7"/>
    <w:next w:val="Normal"/>
    <w:qFormat/>
    <w:pPr>
      <w:widowControl w:val="0"/>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ZGSM">
    <w:name w:val="ZGSM"/>
    <w:qFormat/>
  </w:style>
  <w:style w:type="character" w:customStyle="1" w:styleId="HeaderChar">
    <w:name w:val="Header Char"/>
    <w:link w:val="Header"/>
    <w:qFormat/>
    <w:rsid w:val="00CD4C7B"/>
    <w:rPr>
      <w:rFonts w:ascii="Arial" w:hAnsi="Arial"/>
      <w:b/>
      <w:sz w:val="18"/>
      <w:lang w:val="en-GB" w:eastAsia="ja-JP" w:bidi="ar-SA"/>
    </w:rPr>
  </w:style>
  <w:style w:type="character" w:customStyle="1" w:styleId="InternetLink">
    <w:name w:val="Internet Link"/>
    <w:rsid w:val="0056573F"/>
    <w:rPr>
      <w:color w:val="0000FF"/>
      <w:u w:val="single"/>
    </w:rPr>
  </w:style>
  <w:style w:type="character" w:customStyle="1" w:styleId="DocumentMapChar">
    <w:name w:val="Document Map Char"/>
    <w:basedOn w:val="DefaultParagraphFont"/>
    <w:link w:val="DocumentMap"/>
    <w:qFormat/>
    <w:rsid w:val="009D74A6"/>
    <w:rPr>
      <w:sz w:val="24"/>
      <w:szCs w:val="24"/>
      <w:lang w:eastAsia="en-US"/>
    </w:rPr>
  </w:style>
  <w:style w:type="character" w:customStyle="1" w:styleId="BalloonTextChar">
    <w:name w:val="Balloon Text Char"/>
    <w:basedOn w:val="DefaultParagraphFont"/>
    <w:link w:val="BalloonText"/>
    <w:qFormat/>
    <w:rsid w:val="00B27303"/>
    <w:rPr>
      <w:rFonts w:ascii="Helvetica" w:hAnsi="Helvetica"/>
      <w:sz w:val="18"/>
      <w:szCs w:val="18"/>
      <w:lang w:eastAsia="en-US"/>
    </w:rPr>
  </w:style>
  <w:style w:type="character" w:styleId="UnresolvedMention">
    <w:name w:val="Unresolved Mention"/>
    <w:basedOn w:val="DefaultParagraphFont"/>
    <w:qFormat/>
    <w:rsid w:val="00DE25D2"/>
    <w:rPr>
      <w:color w:val="605E5C"/>
      <w:shd w:val="clear" w:color="auto" w:fill="E1DFDD"/>
    </w:rPr>
  </w:style>
  <w:style w:type="character" w:customStyle="1" w:styleId="TAHCar">
    <w:name w:val="TAH Car"/>
    <w:link w:val="TAH"/>
    <w:qFormat/>
    <w:rsid w:val="00534096"/>
    <w:rPr>
      <w:rFonts w:ascii="Arial" w:hAnsi="Arial"/>
      <w:b/>
      <w:sz w:val="18"/>
      <w:lang w:eastAsia="en-US"/>
    </w:rPr>
  </w:style>
  <w:style w:type="character" w:styleId="CommentReference">
    <w:name w:val="annotation reference"/>
    <w:basedOn w:val="DefaultParagraphFont"/>
    <w:uiPriority w:val="99"/>
    <w:qFormat/>
    <w:rsid w:val="00C06B69"/>
    <w:rPr>
      <w:sz w:val="16"/>
      <w:szCs w:val="16"/>
    </w:rPr>
  </w:style>
  <w:style w:type="character" w:customStyle="1" w:styleId="CommentTextChar">
    <w:name w:val="Comment Text Char"/>
    <w:basedOn w:val="DefaultParagraphFont"/>
    <w:link w:val="CommentText"/>
    <w:uiPriority w:val="99"/>
    <w:qFormat/>
    <w:rsid w:val="00C06B69"/>
    <w:rPr>
      <w:lang w:eastAsia="en-US"/>
    </w:rPr>
  </w:style>
  <w:style w:type="character" w:customStyle="1" w:styleId="CommentSubjectChar">
    <w:name w:val="Comment Subject Char"/>
    <w:basedOn w:val="CommentTextChar"/>
    <w:link w:val="CommentSubject"/>
    <w:qFormat/>
    <w:rsid w:val="00C06B69"/>
    <w:rPr>
      <w:b/>
      <w:bCs/>
      <w:lang w:eastAsia="en-US"/>
    </w:rPr>
  </w:style>
  <w:style w:type="character" w:styleId="FollowedHyperlink">
    <w:name w:val="FollowedHyperlink"/>
    <w:basedOn w:val="DefaultParagraphFont"/>
    <w:qFormat/>
    <w:rsid w:val="00B0593E"/>
    <w:rPr>
      <w:color w:val="954F72" w:themeColor="followedHyperlink"/>
      <w:u w:val="single"/>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cs="Courier New"/>
    </w:rPr>
  </w:style>
  <w:style w:type="character" w:customStyle="1" w:styleId="ListLabel16">
    <w:name w:val="ListLabel 16"/>
    <w:qFormat/>
    <w:rPr>
      <w:rFonts w:eastAsia="Calibri" w:cs="Calibri"/>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eastAsia="Calibri" w:cs="Calibri"/>
    </w:rPr>
  </w:style>
  <w:style w:type="character" w:customStyle="1" w:styleId="ListLabel21">
    <w:name w:val="ListLabel 21"/>
    <w:qFormat/>
    <w:rPr>
      <w:rFonts w:cs="Courier New"/>
    </w:rPr>
  </w:style>
  <w:style w:type="character" w:customStyle="1" w:styleId="ListLabel22">
    <w:name w:val="ListLabel 22"/>
    <w:qFormat/>
    <w:rPr>
      <w:rFonts w:cs="Courier New"/>
    </w:rPr>
  </w:style>
  <w:style w:type="character" w:customStyle="1" w:styleId="ListLabel23">
    <w:name w:val="ListLabel 23"/>
    <w:qFormat/>
    <w:rPr>
      <w:rFonts w:cs="Courier New"/>
    </w:rPr>
  </w:style>
  <w:style w:type="character" w:customStyle="1" w:styleId="ListLabel24">
    <w:name w:val="ListLabel 24"/>
    <w:qFormat/>
    <w:rPr>
      <w:rFonts w:eastAsia="Calibri" w:cs="Calibri"/>
    </w:rPr>
  </w:style>
  <w:style w:type="character" w:customStyle="1" w:styleId="ListLabel25">
    <w:name w:val="ListLabel 25"/>
    <w:qFormat/>
    <w:rPr>
      <w:rFonts w:cs="Courier New"/>
    </w:rPr>
  </w:style>
  <w:style w:type="character" w:customStyle="1" w:styleId="ListLabel26">
    <w:name w:val="ListLabel 26"/>
    <w:qFormat/>
    <w:rPr>
      <w:rFonts w:cs="Courier New"/>
    </w:rPr>
  </w:style>
  <w:style w:type="character" w:customStyle="1" w:styleId="ListLabel27">
    <w:name w:val="ListLabel 27"/>
    <w:qFormat/>
    <w:rPr>
      <w:rFonts w:cs="Courier New"/>
    </w:rPr>
  </w:style>
  <w:style w:type="character" w:customStyle="1" w:styleId="ListLabel28">
    <w:name w:val="ListLabel 28"/>
    <w:qFormat/>
    <w:rPr>
      <w:b/>
      <w:i w:val="0"/>
      <w:color w:val="auto"/>
      <w:sz w:val="22"/>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lang w:val="en-US"/>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eastAsia="Times New Roman" w:cs="Times New Roman"/>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eastAsia="Times New Roman" w:cs="Times New Roman"/>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cs="Courier New"/>
    </w:rPr>
  </w:style>
  <w:style w:type="character" w:customStyle="1" w:styleId="ListLabel53">
    <w:name w:val="ListLabel 53"/>
    <w:qFormat/>
    <w:rPr>
      <w:rFonts w:eastAsia="Times New Roman" w:cs="Times New Roman"/>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rFonts w:cs="Courier New"/>
    </w:rPr>
  </w:style>
  <w:style w:type="character" w:customStyle="1" w:styleId="ListLabel57">
    <w:name w:val="ListLabel 57"/>
    <w:qFormat/>
    <w:rPr>
      <w:rFonts w:eastAsia="Times New Roman" w:cs="Times New Roman"/>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rFonts w:cs="Courier New"/>
    </w:rPr>
  </w:style>
  <w:style w:type="character" w:customStyle="1" w:styleId="ListLabel61">
    <w:name w:val="ListLabel 61"/>
    <w:qFormat/>
    <w:rPr>
      <w:rFonts w:eastAsia="Times New Roman" w:cs="Times New Roman"/>
    </w:rPr>
  </w:style>
  <w:style w:type="character" w:customStyle="1" w:styleId="ListLabel62">
    <w:name w:val="ListLabel 62"/>
    <w:qFormat/>
    <w:rPr>
      <w:rFonts w:cs="Courier New"/>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eastAsia="Times New Roman" w:cs="Times New Roman"/>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Times New Roman" w:cs="Times New Roman"/>
    </w:rPr>
  </w:style>
  <w:style w:type="character" w:customStyle="1" w:styleId="ListLabel70">
    <w:name w:val="ListLabel 70"/>
    <w:qFormat/>
    <w:rPr>
      <w:rFonts w:cs="Courier New"/>
    </w:rPr>
  </w:style>
  <w:style w:type="character" w:customStyle="1" w:styleId="ListLabel71">
    <w:name w:val="ListLabel 71"/>
    <w:qFormat/>
    <w:rPr>
      <w:rFonts w:cs="Courier New"/>
    </w:rPr>
  </w:style>
  <w:style w:type="character" w:customStyle="1" w:styleId="ListLabel72">
    <w:name w:val="ListLabel 72"/>
    <w:qFormat/>
    <w:rPr>
      <w:rFonts w:cs="Courier New"/>
    </w:rPr>
  </w:style>
  <w:style w:type="character" w:customStyle="1" w:styleId="FootnoteCharacters">
    <w:name w:val="Footnote Characters"/>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pPr>
      <w:spacing w:after="140" w:line="276" w:lineRule="auto"/>
    </w:pPr>
  </w:style>
  <w:style w:type="paragraph" w:styleId="List">
    <w:name w:val="List"/>
    <w:basedOn w:val="BodyText"/>
    <w:rPr>
      <w:rFonts w:cs="Lohit Devanagari"/>
    </w:rPr>
  </w:style>
  <w:style w:type="paragraph" w:styleId="Caption">
    <w:name w:val="caption"/>
    <w:basedOn w:val="Normal"/>
    <w:next w:val="Normal"/>
    <w:unhideWhenUsed/>
    <w:qFormat/>
    <w:rsid w:val="00607119"/>
    <w:pPr>
      <w:spacing w:after="200"/>
    </w:pPr>
    <w:rPr>
      <w:i/>
      <w:iCs/>
      <w:color w:val="44546A" w:themeColor="text2"/>
      <w:sz w:val="18"/>
      <w:szCs w:val="18"/>
    </w:rPr>
  </w:style>
  <w:style w:type="paragraph" w:customStyle="1" w:styleId="Index">
    <w:name w:val="Index"/>
    <w:basedOn w:val="Normal"/>
    <w:qFormat/>
    <w:pPr>
      <w:suppressLineNumbers/>
    </w:pPr>
    <w:rPr>
      <w:rFonts w:cs="Lohit Devanagari"/>
    </w:rPr>
  </w:style>
  <w:style w:type="paragraph" w:customStyle="1" w:styleId="H6">
    <w:name w:val="H6"/>
    <w:basedOn w:val="Heading5"/>
    <w:next w:val="Normal"/>
    <w:qFormat/>
    <w:pPr>
      <w:ind w:left="1985" w:hanging="1985"/>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basedOn w:val="Normal"/>
    <w:semiHidden/>
    <w:pPr>
      <w:keepNext/>
      <w:keepLines/>
      <w:widowControl w:val="0"/>
      <w:tabs>
        <w:tab w:val="right" w:leader="dot" w:pos="9639"/>
      </w:tabs>
      <w:spacing w:before="120"/>
      <w:ind w:left="567" w:right="425" w:hanging="567"/>
    </w:pPr>
    <w:rPr>
      <w:sz w:val="22"/>
    </w:rPr>
  </w:style>
  <w:style w:type="paragraph" w:customStyle="1" w:styleId="EQ">
    <w:name w:val="EQ"/>
    <w:basedOn w:val="Normal"/>
    <w:next w:val="Normal"/>
    <w:qFormat/>
    <w:pPr>
      <w:keepLines/>
      <w:tabs>
        <w:tab w:val="center" w:pos="4536"/>
        <w:tab w:val="right" w:pos="9072"/>
      </w:tabs>
    </w:pPr>
  </w:style>
  <w:style w:type="paragraph" w:styleId="Header">
    <w:name w:val="header"/>
    <w:basedOn w:val="Normal"/>
    <w:link w:val="HeaderChar"/>
    <w:pPr>
      <w:widowControl w:val="0"/>
      <w:textAlignment w:val="baseline"/>
    </w:pPr>
    <w:rPr>
      <w:rFonts w:ascii="Arial" w:hAnsi="Arial"/>
      <w:b/>
      <w:sz w:val="18"/>
      <w:lang w:eastAsia="ja-JP"/>
    </w:rPr>
  </w:style>
  <w:style w:type="paragraph" w:customStyle="1" w:styleId="ZD">
    <w:name w:val="ZD"/>
    <w:qFormat/>
    <w:pPr>
      <w:widowControl w:val="0"/>
    </w:pPr>
    <w:rPr>
      <w:rFonts w:ascii="Arial" w:hAnsi="Arial"/>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widowControl w:val="0"/>
      <w:pBdr>
        <w:bottom w:val="single" w:sz="12" w:space="1" w:color="000000"/>
      </w:pBdr>
      <w:jc w:val="right"/>
    </w:pPr>
    <w:rPr>
      <w:rFonts w:ascii="Arial" w:hAnsi="Arial"/>
      <w:sz w:val="40"/>
      <w:lang w:eastAsia="en-US"/>
    </w:rPr>
  </w:style>
  <w:style w:type="paragraph" w:customStyle="1" w:styleId="ZB">
    <w:name w:val="ZB"/>
    <w:qFormat/>
    <w:pPr>
      <w:widowControl w:val="0"/>
      <w:ind w:right="28"/>
      <w:jc w:val="right"/>
    </w:pPr>
    <w:rPr>
      <w:rFonts w:ascii="Arial" w:hAnsi="Arial"/>
      <w:i/>
      <w:lang w:eastAsia="en-US"/>
    </w:rPr>
  </w:style>
  <w:style w:type="paragraph" w:customStyle="1" w:styleId="ZT">
    <w:name w:val="ZT"/>
    <w:qFormat/>
    <w:pPr>
      <w:widowControl w:val="0"/>
      <w:spacing w:line="240" w:lineRule="atLeast"/>
      <w:jc w:val="right"/>
    </w:pPr>
    <w:rPr>
      <w:rFonts w:ascii="Arial" w:hAnsi="Arial"/>
      <w:b/>
      <w:sz w:val="34"/>
      <w:lang w:eastAsia="en-US"/>
    </w:rPr>
  </w:style>
  <w:style w:type="paragraph" w:customStyle="1" w:styleId="ZU">
    <w:name w:val="ZU"/>
    <w:qFormat/>
    <w:pPr>
      <w:widowControl w:val="0"/>
      <w:pBdr>
        <w:top w:val="single" w:sz="12" w:space="1" w:color="000000"/>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widowControl w:val="0"/>
    </w:pPr>
    <w:rPr>
      <w:rFonts w:ascii="Arial" w:hAnsi="Arial"/>
      <w:lang w:eastAsia="en-US"/>
    </w:rPr>
  </w:style>
  <w:style w:type="paragraph" w:customStyle="1" w:styleId="TF">
    <w:name w:val="TF"/>
    <w:basedOn w:val="TH"/>
    <w:qFormat/>
    <w:pPr>
      <w:keepNext w:val="0"/>
      <w:spacing w:before="0" w:after="240"/>
    </w:pPr>
  </w:style>
  <w:style w:type="paragraph" w:customStyle="1" w:styleId="ZG">
    <w:name w:val="ZG"/>
    <w:qFormat/>
    <w:pPr>
      <w:widowControl w:val="0"/>
      <w:jc w:val="right"/>
    </w:pPr>
    <w:rPr>
      <w:rFonts w:ascii="Arial"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Normal"/>
    <w:qFormat/>
    <w:rPr>
      <w:i/>
      <w:color w:val="0000FF"/>
    </w:rPr>
  </w:style>
  <w:style w:type="paragraph" w:customStyle="1" w:styleId="CRCoverPage">
    <w:name w:val="CR Cover Page"/>
    <w:qFormat/>
    <w:rsid w:val="00CD4C7B"/>
    <w:pPr>
      <w:spacing w:after="120"/>
    </w:pPr>
    <w:rPr>
      <w:rFonts w:ascii="Arial" w:eastAsia="MS Mincho" w:hAnsi="Arial"/>
      <w:lang w:eastAsia="en-US"/>
    </w:rPr>
  </w:style>
  <w:style w:type="paragraph" w:styleId="DocumentMap">
    <w:name w:val="Document Map"/>
    <w:basedOn w:val="Normal"/>
    <w:link w:val="DocumentMapChar"/>
    <w:qFormat/>
    <w:rsid w:val="009D74A6"/>
    <w:pPr>
      <w:spacing w:after="0"/>
    </w:pPr>
    <w:rPr>
      <w:sz w:val="24"/>
      <w:szCs w:val="24"/>
    </w:rPr>
  </w:style>
  <w:style w:type="paragraph" w:styleId="BalloonText">
    <w:name w:val="Balloon Text"/>
    <w:basedOn w:val="Normal"/>
    <w:link w:val="BalloonTextChar"/>
    <w:qFormat/>
    <w:rsid w:val="00B27303"/>
    <w:pPr>
      <w:spacing w:after="0"/>
    </w:pPr>
    <w:rPr>
      <w:rFonts w:ascii="Helvetica" w:hAnsi="Helvetica"/>
      <w:sz w:val="18"/>
      <w:szCs w:val="18"/>
    </w:rPr>
  </w:style>
  <w:style w:type="paragraph" w:styleId="ListParagraph">
    <w:name w:val="List Paragraph"/>
    <w:basedOn w:val="Normal"/>
    <w:uiPriority w:val="34"/>
    <w:qFormat/>
    <w:rsid w:val="00534096"/>
    <w:pPr>
      <w:ind w:left="720"/>
      <w:contextualSpacing/>
    </w:pPr>
  </w:style>
  <w:style w:type="paragraph" w:styleId="CommentText">
    <w:name w:val="annotation text"/>
    <w:basedOn w:val="Normal"/>
    <w:link w:val="CommentTextChar"/>
    <w:uiPriority w:val="99"/>
    <w:qFormat/>
    <w:rsid w:val="00C06B69"/>
  </w:style>
  <w:style w:type="paragraph" w:styleId="CommentSubject">
    <w:name w:val="annotation subject"/>
    <w:basedOn w:val="CommentText"/>
    <w:next w:val="CommentText"/>
    <w:link w:val="CommentSubjectChar"/>
    <w:qFormat/>
    <w:rsid w:val="00C06B69"/>
    <w:rPr>
      <w:b/>
      <w:bCs/>
    </w:rPr>
  </w:style>
  <w:style w:type="paragraph" w:customStyle="1" w:styleId="Agreement">
    <w:name w:val="Agreement"/>
    <w:basedOn w:val="Normal"/>
    <w:next w:val="Normal"/>
    <w:qFormat/>
    <w:rsid w:val="00693C52"/>
    <w:pPr>
      <w:spacing w:before="60" w:after="0"/>
    </w:pPr>
    <w:rPr>
      <w:rFonts w:ascii="Arial" w:eastAsia="MS Mincho" w:hAnsi="Arial"/>
      <w:b/>
      <w:szCs w:val="24"/>
      <w:lang w:eastAsia="en-GB"/>
    </w:rPr>
  </w:style>
  <w:style w:type="paragraph" w:styleId="Revision">
    <w:name w:val="Revision"/>
    <w:uiPriority w:val="99"/>
    <w:semiHidden/>
    <w:qFormat/>
    <w:rsid w:val="00F115AB"/>
    <w:rPr>
      <w:lang w:eastAsia="en-US"/>
    </w:rPr>
  </w:style>
  <w:style w:type="table" w:styleId="TableGrid">
    <w:name w:val="Table Grid"/>
    <w:basedOn w:val="TableNormal"/>
    <w:rsid w:val="00384C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576C57"/>
    <w:rPr>
      <w:rFonts w:ascii="Arial" w:hAnsi="Arial"/>
      <w:sz w:val="18"/>
      <w:lang w:eastAsia="en-US"/>
    </w:rPr>
  </w:style>
  <w:style w:type="character" w:styleId="PlaceholderText">
    <w:name w:val="Placeholder Text"/>
    <w:basedOn w:val="DefaultParagraphFont"/>
    <w:uiPriority w:val="99"/>
    <w:semiHidden/>
    <w:rsid w:val="0013579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079410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3.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image" Target="media/image7.svg"/><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6.png"/><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5.png"/><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1.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2.xml"/><Relationship Id="rId22" Type="http://schemas.openxmlformats.org/officeDocument/2006/relationships/image" Target="media/image4.png"/><Relationship Id="rId27"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5AIRPNAIUNRU-859666464-5582</_dlc_DocId>
    <_dlc_DocIdUrl xmlns="71c5aaf6-e6ce-465b-b873-5148d2a4c105">
      <Url>https://nokia.sharepoint.com/sites/c5g/e2earch/_layouts/15/DocIdRedir.aspx?ID=5AIRPNAIUNRU-859666464-5582</Url>
      <Description>5AIRPNAIUNRU-859666464-5582</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1" ma:contentTypeDescription="Create a new document." ma:contentTypeScope="" ma:versionID="9fcbdbbc5ddc6f1cf6ebf1b685f2be8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dda086cec258dcd19271d8b6db3afa94"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D1FF41-9130-4FBF-B742-64100F73850B}">
  <ds:schemaRefs>
    <ds:schemaRef ds:uri="http://schemas.openxmlformats.org/package/2006/metadata/core-properties"/>
    <ds:schemaRef ds:uri="a3840f4f-04be-43d1-b2ef-6ff1382503c7"/>
    <ds:schemaRef ds:uri="http://schemas.microsoft.com/office/2006/documentManagement/types"/>
    <ds:schemaRef ds:uri="http://schemas.microsoft.com/office/infopath/2007/PartnerControls"/>
    <ds:schemaRef ds:uri="83f22d2f-d16e-4be6-ad4f-29fa0b067c3c"/>
    <ds:schemaRef ds:uri="http://purl.org/dc/elements/1.1/"/>
    <ds:schemaRef ds:uri="http://schemas.microsoft.com/office/2006/metadata/properties"/>
    <ds:schemaRef ds:uri="71c5aaf6-e6ce-465b-b873-5148d2a4c105"/>
    <ds:schemaRef ds:uri="http://purl.org/dc/terms/"/>
    <ds:schemaRef ds:uri="3b34c8f0-1ef5-4d1e-bb66-517ce7fe7356"/>
    <ds:schemaRef ds:uri="http://www.w3.org/XML/1998/namespace"/>
    <ds:schemaRef ds:uri="http://purl.org/dc/dcmitype/"/>
  </ds:schemaRefs>
</ds:datastoreItem>
</file>

<file path=customXml/itemProps2.xml><?xml version="1.0" encoding="utf-8"?>
<ds:datastoreItem xmlns:ds="http://schemas.openxmlformats.org/officeDocument/2006/customXml" ds:itemID="{C66C2573-CBE0-4638-8415-428B36BCACB2}">
  <ds:schemaRefs>
    <ds:schemaRef ds:uri="http://schemas.microsoft.com/sharepoint/events"/>
  </ds:schemaRefs>
</ds:datastoreItem>
</file>

<file path=customXml/itemProps3.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4.xml><?xml version="1.0" encoding="utf-8"?>
<ds:datastoreItem xmlns:ds="http://schemas.openxmlformats.org/officeDocument/2006/customXml" ds:itemID="{261BB0F7-38C2-421F-8D55-4C3D5F543F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6.xml><?xml version="1.0" encoding="utf-8"?>
<ds:datastoreItem xmlns:ds="http://schemas.openxmlformats.org/officeDocument/2006/customXml" ds:itemID="{C3C4E236-3D95-40DB-89CF-1C9D581970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3540</Words>
  <Characters>21244</Characters>
  <Application>Microsoft Office Word</Application>
  <DocSecurity>0</DocSecurity>
  <Lines>177</Lines>
  <Paragraphs>49</Paragraphs>
  <ScaleCrop>false</ScaleCrop>
  <HeadingPairs>
    <vt:vector size="2" baseType="variant">
      <vt:variant>
        <vt:lpstr>Title</vt:lpstr>
      </vt:variant>
      <vt:variant>
        <vt:i4>1</vt:i4>
      </vt:variant>
    </vt:vector>
  </HeadingPairs>
  <TitlesOfParts>
    <vt:vector size="1" baseType="lpstr">
      <vt:lpstr/>
    </vt:vector>
  </TitlesOfParts>
  <Company>Nokia Siemens Networks</Company>
  <LinksUpToDate>false</LinksUpToDate>
  <CharactersWithSpaces>24735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&lt;Title 1; Title 2&gt; (Release 13 |12 |11 | 10 | 9 | 8 | 7 | 6 | 5 | 4)</dc:subject>
  <dc:creator>kari.niemela@nokia.com</dc:creator>
  <cp:keywords/>
  <dc:description/>
  <cp:lastModifiedBy>Koziol, Dawid (Nokia - PL/Wroclaw)</cp:lastModifiedBy>
  <cp:revision>2</cp:revision>
  <dcterms:created xsi:type="dcterms:W3CDTF">2019-10-03T18:56:00Z</dcterms:created>
  <dcterms:modified xsi:type="dcterms:W3CDTF">2019-10-03T18:56:00Z</dcterms:modified>
  <dc:language>en-GB</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Nokia Siemens Networks</vt:lpwstr>
  </property>
  <property fmtid="{D5CDD505-2E9C-101B-9397-08002B2CF9AE}" pid="4" name="ContentTypeId">
    <vt:lpwstr>0x01010054371E7EC0F13943B87F9D9F2BE005B3</vt:lpwstr>
  </property>
  <property fmtid="{D5CDD505-2E9C-101B-9397-08002B2CF9AE}" pid="5" name="DocSecurity">
    <vt:i4>0</vt:i4>
  </property>
  <property fmtid="{D5CDD505-2E9C-101B-9397-08002B2CF9AE}" pid="6" name="HyperlinksChanged">
    <vt:bool>false</vt:bool>
  </property>
  <property fmtid="{D5CDD505-2E9C-101B-9397-08002B2CF9AE}" pid="7" name="LinksUpToDate">
    <vt:bool>false</vt:bool>
  </property>
  <property fmtid="{D5CDD505-2E9C-101B-9397-08002B2CF9AE}" pid="8" name="ScaleCrop">
    <vt:bool>false</vt:bool>
  </property>
  <property fmtid="{D5CDD505-2E9C-101B-9397-08002B2CF9AE}" pid="9" name="ShareDoc">
    <vt:bool>false</vt:bool>
  </property>
  <property fmtid="{D5CDD505-2E9C-101B-9397-08002B2CF9AE}" pid="10" name="_dlc_DocIdItemGuid">
    <vt:lpwstr>b7b724df-2aa1-4b63-a7c8-a4a699cb025a</vt:lpwstr>
  </property>
</Properties>
</file>